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E. BENEFITS PAYABLE UNDER HEALTH COVERAGES</w:t>
      </w:r>
    </w:p>
    <w:p w:rsidR="003F3435" w:rsidRDefault="0032493E">
      <w:pPr>
        <w:spacing w:line="480" w:lineRule="auto"/>
        <w:jc w:val="center"/>
      </w:pPr>
      <w:r>
        <w:t xml:space="preserve">CHAPTER 1376.  CERTAIN TESTS FOR EARLY DETECTION OF CARDIOVASCULAR DISEASE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1376.001.</w:t>
      </w:r>
      <w:r xml:space="preserve">
        <w:t> </w:t>
      </w:r>
      <w:r xml:space="preserve">
        <w:t> </w:t>
      </w:r>
      <w:r>
        <w:t xml:space="preserve">APPLICABILITY OF CHAPTER.  (a)  This chapter applies only to a health benefit plan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provides benefits for medical or surgical expenses incurred as a result of a health condition, accident, or sickness,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individual, group, blanket, or franchise insurance policy or insurance agreement, a group hospital service contract, or an individual or group evidence of coverage that is offered by: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 fraternal benefit society operating under Chapter </w:t>
      </w:r>
      <w:r>
        <w:t xml:space="preserve">885</w:t>
      </w:r>
      <w:r>
        <w:t xml:space="preserve">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a Lloyd's plan operating under Chapter </w:t>
      </w:r>
      <w:r>
        <w:t xml:space="preserve">941</w:t>
      </w:r>
      <w:r>
        <w:t xml:space="preserve">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(v)</w:t>
      </w:r>
      <w:r xml:space="preserve">
        <w:t> </w:t>
      </w:r>
      <w:r xml:space="preserve">
        <w:t> </w:t>
      </w:r>
      <w:r>
        <w:t xml:space="preserve">a stipulated premium company operating under Chapter </w:t>
      </w:r>
      <w:r>
        <w:t xml:space="preserve">884</w:t>
      </w:r>
      <w:r>
        <w:t xml:space="preserve">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(vi)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health benefit plan that is offered by a multiple employer welfare arrangement that holds a certificate of authority under Chapter </w:t>
      </w:r>
      <w:r>
        <w:t xml:space="preserve">846</w:t>
      </w:r>
      <w: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small employer health benefit plan written under Chapter </w:t>
      </w:r>
      <w:r>
        <w:t xml:space="preserve">1501</w:t>
      </w:r>
      <w:r>
        <w:t xml:space="preserve">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Medicare supplemental policy as defined by Section 1882(g)(1), Social Security Act (42 U.S.C. Section 1395ss);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offered by an approved nonprofit health corporation operating under Chapter </w:t>
      </w:r>
      <w:r>
        <w:t xml:space="preserve">844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provision in Chapter </w:t>
      </w:r>
      <w:r>
        <w:t xml:space="preserve">1601</w:t>
      </w:r>
      <w:r>
        <w:t xml:space="preserve"> or any other law, this chapter applies to basic coverage under Chapter </w:t>
      </w:r>
      <w:r>
        <w:t xml:space="preserve">1601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1270 (H.B. </w:t>
      </w:r>
      <w:hyperlink w:docLocation="table" r:id="rId14">
        <w:r>
          <w:rPr>
            <w:rStyle w:val="Hyperlink"/>
          </w:rPr>
          <w:t>1290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left"/>
      </w:pPr>
      <w:r>
        <w:t xml:space="preserve">Sec. </w:t>
      </w:r>
      <w:r>
        <w:t xml:space="preserve">1376.002</w:t>
      </w:r>
      <w:r>
        <w:t xml:space="preserve">.</w:t>
      </w:r>
      <w:r xml:space="preserve">
        <w:t> </w:t>
      </w:r>
      <w:r xml:space="preserve">
        <w:t> </w:t>
      </w:r>
      <w:r>
        <w:t xml:space="preserve">EXCEPTIONS.  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plan that provides coverage: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only for a specified disease or other limited benefit;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only for accidental death or dismemberment;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wages or payments in lieu of wages for a period during which an employee is absent from work because of sickness or injury;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as a supplement to a liability insurance policy;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only for indemnity for hospital confinement;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standard health benefit plan issued under Chapter </w:t>
      </w:r>
      <w:r>
        <w:t xml:space="preserve">1507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workers' compensation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medical payment insurance coverage provided under a motor vehicle insurance policy;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long-term care policy, including a nursing home fixed indemnity policy, unless the commissioner determines that the policy provides benefit coverage so comprehensive that the policy is a health benefit plan as described by Section </w:t>
      </w:r>
      <w:r>
        <w:t xml:space="preserve">1376.001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1270 (H.B. </w:t>
      </w:r>
      <w:hyperlink w:docLocation="table" r:id="rId15">
        <w:r>
          <w:rPr>
            <w:rStyle w:val="Hyperlink"/>
          </w:rPr>
          <w:t>1290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1376.003.</w:t>
      </w:r>
      <w:r xml:space="preserve">
        <w:t> </w:t>
      </w:r>
      <w:r xml:space="preserve">
        <w:t> </w:t>
      </w:r>
      <w:r>
        <w:t xml:space="preserve">MINIMUM COVERAGE REQUIRED.  (a)  A health benefit plan that provides coverage for screening medical procedures must provide the minimum coverage required by this section to each covered individual: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who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male older than 45 years of age and younger than 76 years of age;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female older than 55 years of age and younger than 76 years of age;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diabetic;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a risk of developing coronary heart disease, based on a score derived using the Framingham Heart Study coronary prediction algorithm, that is intermediate or higher.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minimum coverage required to be provided under this section is coverage of up to $200 for one of the following noninvasive screening tests for atherosclerosis and abnormal artery structure and function every five years, performed by a laboratory that is certified by a national organization recognized by the commissioner by rule for the purposes of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computed tomography (CT) scanning measuring coronary artery calcification;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ultrasonography measuring carotid intima-media thickness and plaque.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1270 (H.B. </w:t>
      </w:r>
      <w:hyperlink w:docLocation="table" r:id="rId16">
        <w:r>
          <w:rPr>
            <w:rStyle w:val="Hyperlink"/>
          </w:rPr>
          <w:t>1290</w:t>
        </w:r>
      </w:hyperlink>
      <w:r>
        <w:t xml:space="preserve">), Sec. 1,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1290F.HTM" TargetMode="External" Id="rId14" /><Relationship Type="http://schemas.openxmlformats.org/officeDocument/2006/relationships/hyperlink" Target="http://capitol.texas.gov/tlodocs/81R/billtext/html/HB01290F.HTM" TargetMode="External" Id="rId15" /><Relationship Type="http://schemas.openxmlformats.org/officeDocument/2006/relationships/hyperlink" Target="http://capitol.texas.gov/tlodocs/81R/billtext/html/HB0129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