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E. BENEFITS PAYABLE UNDER HEALTH COVERAGES</w:t>
      </w:r>
    </w:p>
    <w:p w:rsidR="003F3435" w:rsidRDefault="0032493E">
      <w:pPr>
        <w:spacing w:line="480" w:lineRule="auto"/>
        <w:jc w:val="center"/>
      </w:pPr>
      <w:r>
        <w:t xml:space="preserve">CHAPTER 1425.  APPLICATION OF SUBTITLE TO CERTAIN COVERAGE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EXCEPTED BENEFITS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1425.001.</w:t>
      </w:r>
      <w:r xml:space="preserve">
        <w:t> </w:t>
      </w:r>
      <w:r xml:space="preserve">
        <w:t> </w:t>
      </w:r>
      <w:r>
        <w:t xml:space="preserve">EXEMPTION FROM APPLICATION OF SUBTITLE.  (a)  Except as provided by Section </w:t>
      </w:r>
      <w:r>
        <w:t xml:space="preserve">1425.002</w:t>
      </w:r>
      <w:r>
        <w:t xml:space="preserve">, a provision of this subtitle that becomes effective on or after January 2, 2010,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plan that provides coverage only: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for a specified disease or diseases or under an individual limited benefit policy;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accidental death or dismemberment;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as a supplement to a liability insurance policy;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for dental or vision care;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disability income insurance coverage or a combination of accident-only and disability income insurance coverage;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credit insurance coverage;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hospital confinement indemnity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Medicare supplemental policy as defined by Section 1882(g)(1), Social Security Act (42 U.S.C. Section 1395ss);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workers' compensation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medical payment insurance coverage provided under a motor vehicle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long-term care insurance policy, including a nursing home fixed indemnity policy, except as provided by Subsection (b);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an occupational accident policy.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long-term care insurance policy, including a nursing home fixed indemnity policy, is subject to this subtitle if the commissioner determines that the policy provides benefits so comprehensive that it is a health benefit plan and should not be subject to the exemption provided under this section.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228 (S.B. </w:t>
      </w:r>
      <w:hyperlink w:docLocation="table" r:id="rId14">
        <w:r>
          <w:rPr>
            <w:rStyle w:val="Hyperlink"/>
          </w:rPr>
          <w:t>1479</w:t>
        </w:r>
      </w:hyperlink>
      <w:r>
        <w:t xml:space="preserve">), Sec. 1, eff. May 27,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1425.002.</w:t>
      </w:r>
      <w:r xml:space="preserve">
        <w:t> </w:t>
      </w:r>
      <w:r xml:space="preserve">
        <w:t> </w:t>
      </w:r>
      <w:r>
        <w:t xml:space="preserve">SPECIFIC LANGUAGE CONTROLS.  A provision of this subtitle that becomes effective on or after January 2, 2010, and that requires coverage or the offer of coverage of a health care service or benefit applies to a plan or policy described by Section </w:t>
      </w:r>
      <w:r>
        <w:t xml:space="preserve">1425.001</w:t>
      </w:r>
      <w:r>
        <w:t xml:space="preserve">(a) only to the extent expressly and specifically provided by law.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228 (S.B. </w:t>
      </w:r>
      <w:hyperlink w:docLocation="table" r:id="rId15">
        <w:r>
          <w:rPr>
            <w:rStyle w:val="Hyperlink"/>
          </w:rPr>
          <w:t>1479</w:t>
        </w:r>
      </w:hyperlink>
      <w:r>
        <w:t xml:space="preserve">), Sec. 1, eff. May 27,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BENEFITS REQUIRING DEFRAYAL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1425.051.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subchapter, "qualified health plan" has the meaning assigned by 45 C.F.R. Section 155.20. 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890 (S.B. </w:t>
      </w:r>
      <w:hyperlink w:docLocation="table" r:id="rId16">
        <w:r>
          <w:rPr>
            <w:rStyle w:val="Hyperlink"/>
          </w:rPr>
          <w:t>2016</w:t>
        </w:r>
      </w:hyperlink>
      <w:r>
        <w:t xml:space="preserve">), Sec. 3, eff. June 16,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1425.052.</w:t>
      </w:r>
      <w:r xml:space="preserve">
        <w:t> </w:t>
      </w:r>
      <w:r xml:space="preserve">
        <w:t> </w:t>
      </w:r>
      <w:r>
        <w:t xml:space="preserve">EXEMPTION FROM SUBTITLE FOR BENEFITS REQUIRING DEFRAYAL.  (a)</w:t>
      </w:r>
      <w:r xml:space="preserve">
        <w:t> </w:t>
      </w:r>
      <w:r xml:space="preserve">
        <w:t> </w:t>
      </w:r>
      <w:r>
        <w:t xml:space="preserve">A provision of this subtitle that is enacted on or after January 1, 2012, does not apply to a qualified health plan if a determination is made under 45 C.F.R. Section 155.170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provision requires the qualified health plan to offer benefits in addition to the essential health benefits required under 42 U.S.C. Section 18022(b);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this state must make payments to defray the cost of the additional benefits mandated by the provision.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determination described by Subsection (a) is made as to a qualified health plan, the provision to which the determination relates does not apply to a non-qualified health plan if the non-qualified health plan is offered in the same market as the qualified health plan.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890 (S.B. </w:t>
      </w:r>
      <w:hyperlink w:docLocation="table" r:id="rId17">
        <w:r>
          <w:rPr>
            <w:rStyle w:val="Hyperlink"/>
          </w:rPr>
          <w:t>2016</w:t>
        </w:r>
      </w:hyperlink>
      <w:r>
        <w:t xml:space="preserve">), Sec. 3, eff. June 16,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1479F.HTM" TargetMode="External" Id="rId14" /><Relationship Type="http://schemas.openxmlformats.org/officeDocument/2006/relationships/hyperlink" Target="http://capitol.texas.gov/tlodocs/81R/billtext/html/SB01479F.HTM" TargetMode="External" Id="rId15" /><Relationship Type="http://schemas.openxmlformats.org/officeDocument/2006/relationships/hyperlink" Target="http://capitol.texas.gov/tlodocs/87R/billtext/html/SB02016F.HTM" TargetMode="External" Id="rId16" /><Relationship Type="http://schemas.openxmlformats.org/officeDocument/2006/relationships/hyperlink" Target="http://capitol.texas.gov/tlodocs/87R/billtext/html/SB02016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