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F. PHYSICIANS AND HEALTH CARE PROVIDERS</w:t>
      </w:r>
    </w:p>
    <w:p w:rsidR="003F3435" w:rsidRDefault="0032493E">
      <w:pPr>
        <w:spacing w:line="480" w:lineRule="auto"/>
        <w:jc w:val="center"/>
      </w:pPr>
      <w:r>
        <w:t xml:space="preserve">CHAPTER 1460. STANDARDS REQUIRED REGARDING CERTAIN PHYSICIAN RANKINGS BY HEALTH BENEFIT PLANS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benefit plan issuer" means an entity authorized under this code or another insurance law of this state that provides health insurance or health benefits in this state,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"Physician" means an individual licensed to practice medicine in this state or another state of the United States.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14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1460.002.</w:t>
      </w:r>
      <w:r xml:space="preserve">
        <w:t> </w:t>
      </w:r>
      <w:r xml:space="preserve">
        <w:t> </w:t>
      </w:r>
      <w:r>
        <w:t xml:space="preserve">EXEMPTION.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Medicaid managed care program operated under Chapter </w:t>
      </w:r>
      <w:r>
        <w:t xml:space="preserve">540</w:t>
      </w:r>
      <w:r>
        <w:t xml:space="preserve"> or </w:t>
      </w:r>
      <w:r>
        <w:t xml:space="preserve">540A</w:t>
      </w:r>
      <w:r>
        <w:t xml:space="preserve">, Government Code, as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Medicaid program operated under Chapter </w:t>
      </w:r>
      <w:r>
        <w:t xml:space="preserve">32</w:t>
      </w:r>
      <w:r>
        <w:t xml:space="preserve">, Human Resources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child health plan program under Chapter </w:t>
      </w:r>
      <w:r>
        <w:t xml:space="preserve">62</w:t>
      </w:r>
      <w:r>
        <w:t xml:space="preserve">, Health and Safety Code, or the health benefits plan for children under Chapter </w:t>
      </w:r>
      <w:r>
        <w:t xml:space="preserve">63</w:t>
      </w:r>
      <w:r>
        <w:t xml:space="preserve">, Health and Safety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Medicare supplement benefit plan, as defined by Chapter </w:t>
      </w:r>
      <w:r>
        <w:t xml:space="preserve">1652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15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769 (H.B. </w:t>
      </w:r>
      <w:hyperlink w:docLocation="table" r:id="rId16">
        <w:r>
          <w:rPr>
            <w:rStyle w:val="Hyperlink"/>
          </w:rPr>
          <w:t>4611</w:t>
        </w:r>
      </w:hyperlink>
      <w:r>
        <w:t xml:space="preserve">), Sec. 2.135, eff. April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1460.003.</w:t>
      </w:r>
      <w:r xml:space="preserve">
        <w:t> </w:t>
      </w:r>
      <w:r xml:space="preserve">
        <w:t> </w:t>
      </w:r>
      <w:r>
        <w:t xml:space="preserve">PHYSICIAN RANKING REQUIREMENTS.  (a)</w:t>
      </w:r>
      <w:r xml:space="preserve">
        <w:t> </w:t>
      </w:r>
      <w:r xml:space="preserve">
        <w:t> </w:t>
      </w:r>
      <w:r>
        <w:t xml:space="preserve">A health benefit plan issuer, including a subsidiary or affiliate, may not rank physicians or classify physicians into tiers based on performance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standards used by the health benefit plan issuer to rank or classify are developed or prescribed by an organization designated by the commissioner through rules adopted under Section </w:t>
      </w:r>
      <w:r>
        <w:t xml:space="preserve">1460.005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ranking or classification and any methodology used to rank or classify: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disclosed to each affected physician at least 45 days before the date the ranking or classification is released, published, or distributed by the health benefit plan issuer;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identifies which products or networks offered by the health benefit plan issuer the ranking or classification will be used for;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each affected physician is given an easy-to-use process to identify: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before the release, publication, or distribution of the ranking or classification, any discrepancy between the standards and the ranking or classification proposed by the health benefit plan issuer;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the release, publication, or distribution of the ranking or classification, any objectively and verifiably false information contained in the ranking or classification.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(a-1)</w:t>
      </w:r>
      <w:r xml:space="preserve">
        <w:t> </w:t>
      </w:r>
      <w:r xml:space="preserve">
        <w:t> </w:t>
      </w:r>
      <w:r>
        <w:t xml:space="preserve">If a physician submits information under Subsection (a)(3) sufficient to establish a verifiable discrepancy or objectively and verifiably false information contained in the ranking or classification or a violation of this chapter, the health benefit plan issuer must remedy the discrepancy, false information, or violation by the later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release, publication, or distribution of the ranking or classification;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30th day after the date the health benefit plan issuer receives the information.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the publication of a list of network physicians and providers if ratings or comparisons are not made and the list is not a product of nor reflects the tiering or classification of physicians or providers.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17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787 (S.B. </w:t>
      </w:r>
      <w:hyperlink w:docLocation="table" r:id="rId18">
        <w:r>
          <w:rPr>
            <w:rStyle w:val="Hyperlink"/>
          </w:rPr>
          <w:t>926</w:t>
        </w:r>
      </w:hyperlink>
      <w:r>
        <w:t xml:space="preserve">), Sec. 4,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1460.004.</w:t>
      </w:r>
      <w:r xml:space="preserve">
        <w:t> </w:t>
      </w:r>
      <w:r xml:space="preserve">
        <w:t> </w:t>
      </w:r>
      <w:r>
        <w:t xml:space="preserve">DUTIES OF PHYSICIANS.  A physician may not require or request that a patient of the physician enter into an agreement under which the patient agrees not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rank or otherwise evaluate the physician;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participate in surveys regarding the physician;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 any way comment on the patient's opinion of the physician.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19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1460.005.</w:t>
      </w:r>
      <w:r xml:space="preserve">
        <w:t> </w:t>
      </w:r>
      <w:r xml:space="preserve">
        <w:t> </w:t>
      </w:r>
      <w:r>
        <w:t xml:space="preserve">RULES; STANDARDS.  (a)  The commissioner shall adopt rules as necessary to implement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adopt rules as necessary to ensure that a health benefit plan issuer that uses a physician ranking system complies with the standards and guidelines described by Subsection (c).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adopting rules under this section for purposes of Section </w:t>
      </w:r>
      <w:r>
        <w:t xml:space="preserve">1460.003</w:t>
      </w:r>
      <w:r>
        <w:t xml:space="preserve">(a)(1), the commissioner may only designate an organization that meets the following requirements: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national medical specialty society;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bona fide organization that is unbiased toward or against any medical provider or health benefit plan issuer;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standards developed or prescribed by the organization that are to be used in rankings or classifications: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emphasize quality of care and: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are nationally recognized, in widely circulated peer-reviewed medical literature, expert-based physician consensus quality standards, or leading objective clinical evidence-based scholarship;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have a publicly transparent methodology;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if based on clinical outcomes, are risk-adjusted;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are compatible with an easy-to-use process in which a physician or person acting on behalf of the physician may report data, evidentiary, factual, or mathematical discrepancies, errors, omissions, or faulty assumptions for investigation and, if appropriate, correction.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 this section, "national medical specialty society" means a national organization: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with a majority of members who are physicians;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represents a specific physician medical specialty;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is represented in the house of delegates of the American Medical Association.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20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787 (S.B. </w:t>
      </w:r>
      <w:hyperlink w:docLocation="table" r:id="rId21">
        <w:r>
          <w:rPr>
            <w:rStyle w:val="Hyperlink"/>
          </w:rPr>
          <w:t>926</w:t>
        </w:r>
      </w:hyperlink>
      <w:r>
        <w:t xml:space="preserve">), Sec. 5,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1460.006.</w:t>
      </w:r>
      <w:r xml:space="preserve">
        <w:t> </w:t>
      </w:r>
      <w:r xml:space="preserve">
        <w:t> </w:t>
      </w:r>
      <w:r>
        <w:t xml:space="preserve">DUTIES OF HEALTH BENEFIT PLAN ISSUER.  A health benefit plan issuer shall ensure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physicians currently in clinical practice are actively involved in the development of the standards used under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measures and methodology used in the comparison programs described by Section </w:t>
      </w:r>
      <w:r>
        <w:t xml:space="preserve">1460.003</w:t>
      </w:r>
      <w:r>
        <w:t xml:space="preserve"> are transparent and valid.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22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1460.007.</w:t>
      </w:r>
      <w:r xml:space="preserve">
        <w:t> </w:t>
      </w:r>
      <w:r xml:space="preserve">
        <w:t> </w:t>
      </w:r>
      <w:r>
        <w:t xml:space="preserve">SANCTIONS; DISCIPLINARY ACTIONS.  (a)  A health benefit plan issuer that violates this chapter or a rule adopted under this chapter is subject to sanctions and disciplinary actions under Chapters </w:t>
      </w:r>
      <w:r>
        <w:t xml:space="preserve">82</w:t>
      </w:r>
      <w:r>
        <w:t xml:space="preserve"> and </w:t>
      </w:r>
      <w:r>
        <w:t xml:space="preserve">84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violation of this chapter by a physician constitutes grounds for disciplinary action by the Texas Medical Board, including imposition of an administrative penalty.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commissioner shall prohibit a health benefit plan issuer from using a ranking or classification system otherwise authorized under this chapter for not less than 12 consecutive months if the commissioner determines that the health benefit plan issuer has engaged in a pattern of discrepancies, falsehoods, or violations described by Section </w:t>
      </w:r>
      <w:r>
        <w:t xml:space="preserve">1460.003</w:t>
      </w:r>
      <w:r>
        <w:t xml:space="preserve">(a-1).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652 (H.B. </w:t>
      </w:r>
      <w:hyperlink w:docLocation="table" r:id="rId23">
        <w:r>
          <w:rPr>
            <w:rStyle w:val="Hyperlink"/>
          </w:rPr>
          <w:t>1888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787 (S.B. </w:t>
      </w:r>
      <w:hyperlink w:docLocation="table" r:id="rId24">
        <w:r>
          <w:rPr>
            <w:rStyle w:val="Hyperlink"/>
          </w:rPr>
          <w:t>926</w:t>
        </w:r>
      </w:hyperlink>
      <w:r>
        <w:t xml:space="preserve">), Sec. 6,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1888F.HTM" TargetMode="External" Id="rId14" /><Relationship Type="http://schemas.openxmlformats.org/officeDocument/2006/relationships/hyperlink" Target="http://capitol.texas.gov/tlodocs/81R/billtext/html/HB01888F.HTM" TargetMode="External" Id="rId15" /><Relationship Type="http://schemas.openxmlformats.org/officeDocument/2006/relationships/hyperlink" Target="http://capitol.texas.gov/tlodocs/88R/billtext/html/HB04611F.HTM" TargetMode="External" Id="rId16" /><Relationship Type="http://schemas.openxmlformats.org/officeDocument/2006/relationships/hyperlink" Target="http://capitol.texas.gov/tlodocs/81R/billtext/html/HB01888F.HTM" TargetMode="External" Id="rId17" /><Relationship Type="http://schemas.openxmlformats.org/officeDocument/2006/relationships/hyperlink" Target="http://capitol.texas.gov/tlodocs/89R/billtext/html/SB00926F.HTM" TargetMode="External" Id="rId18" /><Relationship Type="http://schemas.openxmlformats.org/officeDocument/2006/relationships/hyperlink" Target="http://capitol.texas.gov/tlodocs/81R/billtext/html/HB01888F.HTM" TargetMode="External" Id="rId19" /><Relationship Type="http://schemas.openxmlformats.org/officeDocument/2006/relationships/hyperlink" Target="http://capitol.texas.gov/tlodocs/81R/billtext/html/HB01888F.HTM" TargetMode="External" Id="rId20" /><Relationship Type="http://schemas.openxmlformats.org/officeDocument/2006/relationships/hyperlink" Target="http://capitol.texas.gov/tlodocs/89R/billtext/html/SB00926F.HTM" TargetMode="External" Id="rId21" /><Relationship Type="http://schemas.openxmlformats.org/officeDocument/2006/relationships/hyperlink" Target="http://capitol.texas.gov/tlodocs/81R/billtext/html/HB01888F.HTM" TargetMode="External" Id="rId22" /><Relationship Type="http://schemas.openxmlformats.org/officeDocument/2006/relationships/hyperlink" Target="http://capitol.texas.gov/tlodocs/81R/billtext/html/HB01888F.HTM" TargetMode="External" Id="rId23" /><Relationship Type="http://schemas.openxmlformats.org/officeDocument/2006/relationships/hyperlink" Target="http://capitol.texas.gov/tlodocs/89R/billtext/html/SB00926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