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F. PHYSICIANS AND HEALTH CARE PROVIDERS</w:t>
      </w:r>
    </w:p>
    <w:p w:rsidR="003F3435" w:rsidRDefault="0032493E">
      <w:pPr>
        <w:spacing w:line="480" w:lineRule="auto"/>
        <w:jc w:val="center"/>
      </w:pPr>
      <w:r>
        <w:t xml:space="preserve">CHAPTER 1461.  DISCRIMINATION AGAINST PHYSICIAN BASED ON MAINTENANCE OF CERTIFICATION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"Enrollee" means an individual who is eligible to receive health care services under a managed care plan.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"Maintenance of certification" has the meaning assigned by Section </w:t>
      </w:r>
      <w:r>
        <w:t xml:space="preserve">151.002</w:t>
      </w:r>
      <w:r>
        <w:t xml:space="preserve">, Occupations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"Managed care plan" means a health benefit plan under which health care services are provided to enrollees through contracts with physicians and that requires enrollees to use participating physicians or that provides a different level of coverage for enrollees who use participating physicians.</w:t>
      </w:r>
      <w:r xml:space="preserve">
        <w:t> </w:t>
      </w:r>
      <w:r xml:space="preserve">
        <w:t> </w:t>
      </w:r>
      <w:r>
        <w:t xml:space="preserve">The term includes a health benefit plan issued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health maintenance organization;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preferred provider benefit plan issuer;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any other entity that issues a health benefit plan, including an insurance company.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"Participating physician" means a physician who has directly or indirectly contracted with a health benefit plan issuer to provide services to enrollees.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"Physician" means an individual licensed to practice medicine in this state.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1121 (S.B. </w:t>
      </w:r>
      <w:hyperlink w:docLocation="table" r:id="rId14">
        <w:r>
          <w:rPr>
            <w:rStyle w:val="Hyperlink"/>
          </w:rPr>
          <w:t>1148</w:t>
        </w:r>
      </w:hyperlink>
      <w:r>
        <w:t xml:space="preserve">), Sec. 1, eff. January 1, 2018.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1461.002.</w:t>
      </w:r>
      <w:r xml:space="preserve">
        <w:t> </w:t>
      </w:r>
      <w:r xml:space="preserve">
        <w:t> </w:t>
      </w:r>
      <w:r>
        <w:t xml:space="preserve">APPLICABILITY.  (a)</w:t>
      </w:r>
      <w:r xml:space="preserve">
        <w:t> </w:t>
      </w:r>
      <w:r xml:space="preserve">
        <w:t> </w:t>
      </w:r>
      <w:r>
        <w:t xml:space="preserve">This chapter applies to a physician regardless of whether the physician is a participating physician.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applies to a person with whom a managed care plan issuer contracts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process or pay claims;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obtain the services of physicians to provide health care services to enrollees;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issue verifications or preauthorizations.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1121 (S.B. </w:t>
      </w:r>
      <w:hyperlink w:docLocation="table" r:id="rId15">
        <w:r>
          <w:rPr>
            <w:rStyle w:val="Hyperlink"/>
          </w:rPr>
          <w:t>1148</w:t>
        </w:r>
      </w:hyperlink>
      <w:r>
        <w:t xml:space="preserve">), Sec. 1, eff. January 1, 2018.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1461.003.</w:t>
      </w:r>
      <w:r xml:space="preserve">
        <w:t> </w:t>
      </w:r>
      <w:r xml:space="preserve">
        <w:t> </w:t>
      </w:r>
      <w:r>
        <w:t xml:space="preserve">DISCRIMINATION BASED ON MAINTENANCE OF CERTIFICATION.  (a)</w:t>
      </w:r>
      <w:r xml:space="preserve">
        <w:t> </w:t>
      </w:r>
      <w:r xml:space="preserve">
        <w:t> </w:t>
      </w:r>
      <w:r>
        <w:t xml:space="preserve">Except as provided by Subsection (b), a managed care plan issuer may not differentiate between physicians based on a physician's maintenance of certification in regard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paying the physician;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reimbursing the physician;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directly or indirectly contracting with the physician to provide services to enrollees.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managed care plan issuer may differentiate between physicians based on a physician's maintenance of certification only if the designation under law or certification or accreditation by a national certifying or accrediting organization of an entity described by Section </w:t>
      </w:r>
      <w:r>
        <w:t xml:space="preserve">151.0515</w:t>
      </w:r>
      <w:r>
        <w:t xml:space="preserve">(a), Occupations Code, is contingent on the entity requiring a specific maintenance of certification by physicians seeking staff privileges or credentialing at the entity.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1121 (S.B. </w:t>
      </w:r>
      <w:hyperlink w:docLocation="table" r:id="rId16">
        <w:r>
          <w:rPr>
            <w:rStyle w:val="Hyperlink"/>
          </w:rPr>
          <w:t>1148</w:t>
        </w:r>
      </w:hyperlink>
      <w:r>
        <w:t xml:space="preserve">), Sec. 1, eff. January 1, 2018.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SB01148F.HTM" TargetMode="External" Id="rId14" /><Relationship Type="http://schemas.openxmlformats.org/officeDocument/2006/relationships/hyperlink" Target="http://capitol.texas.gov/tlodocs/85R/billtext/html/SB01148F.HTM" TargetMode="External" Id="rId15" /><Relationship Type="http://schemas.openxmlformats.org/officeDocument/2006/relationships/hyperlink" Target="http://capitol.texas.gov/tlodocs/85R/billtext/html/SB01148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