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INSURANCE CODE</w:t>
      </w:r>
    </w:p>
    <w:p w:rsidR="003F3435" w:rsidRDefault="0032493E">
      <w:pPr>
        <w:spacing w:line="480" w:lineRule="auto"/>
        <w:jc w:val="center"/>
      </w:pPr>
      <w:r>
        <w:t xml:space="preserve">TITLE 8. HEALTH INSURANCE AND OTHER HEALTH COVERAGES</w:t>
      </w:r>
    </w:p>
    <w:p w:rsidR="003F3435" w:rsidRDefault="0032493E">
      <w:pPr>
        <w:spacing w:line="480" w:lineRule="auto"/>
        <w:jc w:val="center"/>
      </w:pPr>
      <w:r>
        <w:t xml:space="preserve">SUBTITLE I. SPECIALIZED COVERAGES</w:t>
      </w:r>
    </w:p>
    <w:p w:rsidR="003F3435" w:rsidRDefault="0032493E">
      <w:pPr>
        <w:spacing w:line="480" w:lineRule="auto"/>
        <w:jc w:val="center"/>
      </w:pPr>
      <w:r>
        <w:t xml:space="preserve">CHAPTER 1653.  HIGH DEDUCTIBLE HEALTH PLAN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1653.001.</w:t>
      </w:r>
      <w:r xml:space="preserve">
        <w:t> </w:t>
      </w:r>
      <w:r xml:space="preserve">
        <w:t> </w:t>
      </w:r>
      <w:r>
        <w:t xml:space="preserve">DEFINITION.  In this chapter, "high deductible health plan" has the meaning assigned by Section 223, Internal Revenue Code of 1986.</w:t>
      </w:r>
    </w:p>
    <w:p w:rsidR="003F3435" w:rsidRDefault="0032493E">
      <w:pPr>
        <w:spacing w:line="480" w:lineRule="auto"/>
        <w:jc w:val="both"/>
      </w:pPr>
      <w:r>
        <w:t xml:space="preserve">Added by Acts 2005, 79th Leg., Ch. 151 (H.B. </w:t>
      </w:r>
      <w:hyperlink w:docLocation="table" r:id="rId14">
        <w:r>
          <w:rPr>
            <w:rStyle w:val="Hyperlink"/>
          </w:rPr>
          <w:t>1602</w:t>
        </w:r>
      </w:hyperlink>
      <w:r>
        <w:t xml:space="preserve">), Sec. 1, eff. May 24, 2005.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1653.002.</w:t>
      </w:r>
      <w:r xml:space="preserve">
        <w:t> </w:t>
      </w:r>
      <w:r xml:space="preserve">
        <w:t> </w:t>
      </w:r>
      <w:r>
        <w:t xml:space="preserve">APPLICABILITY OF OTHER LAW.  (a)  Subject to Subsection (b), a high deductible health plan is subject to any law mandating a minimum health insurance benefit or reimbursement.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Notwithstanding any other law, a provision of this code may not be construed to prevent an insurer, health maintenance organization, or other entity issuing a health insurance policy or certificate of coverage from applying deductible or copayment requirements to benefits, including state-mandated health benefits, in order to qualify the health insurance policy or certificate of coverage as a high deductible health plan.</w:t>
      </w:r>
    </w:p>
    <w:p w:rsidR="003F3435" w:rsidRDefault="0032493E">
      <w:pPr>
        <w:spacing w:line="480" w:lineRule="auto"/>
        <w:jc w:val="both"/>
      </w:pPr>
      <w:r>
        <w:t xml:space="preserve">Added by Acts 2005, 79th Leg., Ch. 151 (H.B. </w:t>
      </w:r>
      <w:hyperlink w:docLocation="table" r:id="rId15">
        <w:r>
          <w:rPr>
            <w:rStyle w:val="Hyperlink"/>
          </w:rPr>
          <w:t>1602</w:t>
        </w:r>
      </w:hyperlink>
      <w:r>
        <w:t xml:space="preserve">), Sec. 1, eff. May 24, 2005.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1653.003.</w:t>
      </w:r>
      <w:r xml:space="preserve">
        <w:t> </w:t>
      </w:r>
      <w:r xml:space="preserve">
        <w:t> </w:t>
      </w:r>
      <w:r>
        <w:t xml:space="preserve">RULES.  The commissioner shall adopt rules necessary to implement this chapter.</w:t>
      </w:r>
    </w:p>
    <w:p w:rsidR="003F3435" w:rsidRDefault="0032493E">
      <w:pPr>
        <w:spacing w:line="480" w:lineRule="auto"/>
        <w:jc w:val="both"/>
      </w:pPr>
      <w:r>
        <w:t xml:space="preserve">Added by Acts 2005, 79th Leg., Ch. 151 (H.B. </w:t>
      </w:r>
      <w:hyperlink w:docLocation="table" r:id="rId16">
        <w:r>
          <w:rPr>
            <w:rStyle w:val="Hyperlink"/>
          </w:rPr>
          <w:t>1602</w:t>
        </w:r>
      </w:hyperlink>
      <w:r>
        <w:t xml:space="preserve">), Sec. 1, eff. May 24, 2005.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79R/billtext/html/HB01602F.HTM" TargetMode="External" Id="rId14" /><Relationship Type="http://schemas.openxmlformats.org/officeDocument/2006/relationships/hyperlink" Target="http://capitol.texas.gov/tlodocs/79R/billtext/html/HB01602F.HTM" TargetMode="External" Id="rId15" /><Relationship Type="http://schemas.openxmlformats.org/officeDocument/2006/relationships/hyperlink" Target="http://capitol.texas.gov/tlodocs/79R/billtext/html/HB01602F.HTM" TargetMode="External" Id="rId1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