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10.  PROPERTY AND CASUALTY INSURANCE</w:t>
      </w:r>
    </w:p>
    <w:p w:rsidR="003F3435" w:rsidRDefault="0032493E">
      <w:pPr>
        <w:spacing w:line="480" w:lineRule="auto"/>
        <w:jc w:val="center"/>
      </w:pPr>
      <w:r>
        <w:t xml:space="preserve">SUBTITLE A.  GENERAL PROVISIONS</w:t>
      </w:r>
    </w:p>
    <w:p w:rsidR="003F3435" w:rsidRDefault="0032493E">
      <w:pPr>
        <w:spacing w:line="480" w:lineRule="auto"/>
        <w:jc w:val="center"/>
      </w:pPr>
      <w:r>
        <w:t xml:space="preserve">CHAPTER 1802.  PROPERTY AND CASUALTY INSURANCE INITIATIVES TASK FORCE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1802.001.</w:t>
      </w:r>
      <w:r xml:space="preserve">
        <w:t> </w:t>
      </w:r>
      <w:r xml:space="preserve">
        <w:t> </w:t>
      </w:r>
      <w:r>
        <w:t xml:space="preserve">PROPERTY AND CASUALTY INSURANCE INITIATIVES TASK FORCE.  (a)  The commissioner may establish a task force to study the utility and feasibility of instituting various property and casualty insurance initiatives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initiatives studied may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possible coordination with: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Texas Economic Development Bank to make certain property and casualty insurance an enterprise zone program under Chapter </w:t>
      </w:r>
      <w:r>
        <w:t xml:space="preserve">2303</w:t>
      </w:r>
      <w:r>
        <w:t xml:space="preserve">, Government Code;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Neighborhood Housing Service (NHS) programs to establish voluntary NHS-Insurance Industry Partnerships;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possible insurance agent programs to increase minority agency access to standard insurance companies, including minority intern programs with insurance companies;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possible tax incentives for insurance written in underserved areas;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consumer education program designed to increase the ability of consumers to differentiate among different products and providers in the property and casualty insurance market.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4">
        <w:r>
          <w:rPr>
            <w:rStyle w:val="Hyperlink"/>
          </w:rPr>
          <w:t>2017</w:t>
        </w:r>
      </w:hyperlink>
      <w:r>
        <w:t xml:space="preserve">), Sec. 2, eff. April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017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