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A.  GENERAL PROVISIONS</w:t>
      </w:r>
    </w:p>
    <w:p w:rsidR="003F3435" w:rsidRDefault="0032493E">
      <w:pPr>
        <w:spacing w:line="480" w:lineRule="auto"/>
        <w:jc w:val="center"/>
      </w:pPr>
      <w:r>
        <w:t xml:space="preserve">CHAPTER 1810.  PROMOTIONAL EVENT PRIZE PROGRAMS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1810.001.</w:t>
      </w:r>
      <w:r xml:space="preserve">
        <w:t> </w:t>
      </w:r>
      <w:r xml:space="preserve">
        <w:t> </w:t>
      </w:r>
      <w:r>
        <w:t xml:space="preserve">DEFINITION.  In this chapter, "promotional event prize program" means a written contract entered into in this state for commercial marketing or promotional purposes: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under which a monetary risk is transferred from one or more parties to the contract to another party to the contract;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does not require as a condition precedent to the imposition of contractual liability on the part of the person accepting the risk: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actual economic loss by the person who transfers the risk;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submission of proof of economic loss by the person transferring the risk;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that specifically states that the contract is not for insurance and performance under the contract is not covered by any state guaranty association.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246 (H.B. </w:t>
      </w:r>
      <w:hyperlink w:docLocation="table" r:id="rId14">
        <w:r>
          <w:rPr>
            <w:rStyle w:val="Hyperlink"/>
          </w:rPr>
          <w:t>2708</w:t>
        </w:r>
      </w:hyperlink>
      <w:r>
        <w:t xml:space="preserve">), Sec. 1, eff. May 25,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1810.002.</w:t>
      </w:r>
      <w:r xml:space="preserve">
        <w:t> </w:t>
      </w:r>
      <w:r xml:space="preserve">
        <w:t> </w:t>
      </w:r>
      <w:r>
        <w:t xml:space="preserve">PROGRAM NOT INSURANCE; NOT COVERED BY GUARANTY ASSOCIATION.  A promotional event prize program does not constitute the business of insurance in this state.</w:t>
      </w:r>
      <w:r xml:space="preserve">
        <w:t> </w:t>
      </w:r>
      <w:r xml:space="preserve">
        <w:t> </w:t>
      </w:r>
      <w:r>
        <w:t xml:space="preserve">A person's claim for performance under a contract for a promotional event prize program is not a covered claim under Chapter </w:t>
      </w:r>
      <w:r>
        <w:t xml:space="preserve">462</w:t>
      </w:r>
      <w:r>
        <w:t xml:space="preserve"> and a promotional event prize program is not covered by the Texas Property and Casualty Insurance Guaranty Association or any other state guaranty association.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246 (H.B. </w:t>
      </w:r>
      <w:hyperlink w:docLocation="table" r:id="rId15">
        <w:r>
          <w:rPr>
            <w:rStyle w:val="Hyperlink"/>
          </w:rPr>
          <w:t>2708</w:t>
        </w:r>
      </w:hyperlink>
      <w:r>
        <w:t xml:space="preserve">), Sec. 1, eff. May 25,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1810.003.</w:t>
      </w:r>
      <w:r xml:space="preserve">
        <w:t> </w:t>
      </w:r>
      <w:r xml:space="preserve">
        <w:t> </w:t>
      </w:r>
      <w:r>
        <w:t xml:space="preserve">CERTAIN MARKETING PROHIBITED.  A promotional event prize program may not be marketed or described as insurance.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246 (H.B. </w:t>
      </w:r>
      <w:hyperlink w:docLocation="table" r:id="rId16">
        <w:r>
          <w:rPr>
            <w:rStyle w:val="Hyperlink"/>
          </w:rPr>
          <w:t>2708</w:t>
        </w:r>
      </w:hyperlink>
      <w:r>
        <w:t xml:space="preserve">), Sec. 1, eff. May 25,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708F.HTM" TargetMode="External" Id="rId14" /><Relationship Type="http://schemas.openxmlformats.org/officeDocument/2006/relationships/hyperlink" Target="http://capitol.texas.gov/tlodocs/80R/billtext/html/HB02708F.HTM" TargetMode="External" Id="rId15" /><Relationship Type="http://schemas.openxmlformats.org/officeDocument/2006/relationships/hyperlink" Target="http://capitol.texas.gov/tlodocs/80R/billtext/html/HB0270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