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10.  PROPERTY AND CASUALTY INSURANCE</w:t>
      </w:r>
    </w:p>
    <w:p w:rsidR="003F3435" w:rsidRDefault="0032493E">
      <w:pPr>
        <w:spacing w:line="480" w:lineRule="auto"/>
        <w:jc w:val="center"/>
      </w:pPr>
      <w:r>
        <w:t xml:space="preserve">SUBTITLE H.  RATEMAKING IN GENERAL</w:t>
      </w:r>
    </w:p>
    <w:p w:rsidR="003F3435" w:rsidRDefault="0032493E">
      <w:pPr>
        <w:spacing w:line="480" w:lineRule="auto"/>
        <w:jc w:val="center"/>
      </w:pPr>
      <w:r>
        <w:t xml:space="preserve">CHAPTER 2253.  RATING TERRITORIES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2253.001.</w:t>
      </w:r>
      <w:r xml:space="preserve">
        <w:t> </w:t>
      </w:r>
      <w:r xml:space="preserve">
        <w:t> </w:t>
      </w:r>
      <w:r>
        <w:t xml:space="preserve">RATING TERRITORIES.  (a)  Notwithstanding any other provision of this code, an insurer, in writing residential property or personal automobile insurance, may use rating territories that subdivide a county only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county is subdivided;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rate for any subdivision in the county is not greater than 15 percent higher than the rate used in any other subdivision in the county by that insurer.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 by rule may allow a greater rate difference than the rate difference specified by Subsection (a).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4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730 (H.B. </w:t>
      </w:r>
      <w:hyperlink w:docLocation="table" r:id="rId15">
        <w:r>
          <w:rPr>
            <w:rStyle w:val="Hyperlink"/>
          </w:rPr>
          <w:t>2636</w:t>
        </w:r>
      </w:hyperlink>
      <w:r>
        <w:t xml:space="preserve">), Sec. 3B.073(a), eff. September 1, 2007.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921 (H.B. </w:t>
      </w:r>
      <w:hyperlink w:docLocation="table" r:id="rId16">
        <w:r>
          <w:rPr>
            <w:rStyle w:val="Hyperlink"/>
          </w:rPr>
          <w:t>3167</w:t>
        </w:r>
      </w:hyperlink>
      <w:r>
        <w:t xml:space="preserve">), Sec. 9.073(a), eff. September 1,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2017F.HTM" TargetMode="External" Id="rId14" /><Relationship Type="http://schemas.openxmlformats.org/officeDocument/2006/relationships/hyperlink" Target="http://capitol.texas.gov/tlodocs/80R/billtext/html/HB02636F.HTM" TargetMode="External" Id="rId15" /><Relationship Type="http://schemas.openxmlformats.org/officeDocument/2006/relationships/hyperlink" Target="http://capitol.texas.gov/tlodocs/80R/billtext/html/HB03167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