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259. THIRD-PARTY ADMINISTRATORS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or service fees" means all consideration, fees, assessments, payments, reimbursements, dues, and other compensation received for services as an administrator during a calendar year.  The term does not include sales commissions.</w:t>
      </w:r>
    </w:p>
    <w:p w:rsidR="003F3435" w:rsidRDefault="0032493E">
      <w:pPr>
        <w:spacing w:line="480" w:lineRule="auto"/>
        <w:ind w:firstLine="1440"/>
        <w:jc w:val="both"/>
      </w:pPr>
      <w:r>
        <w:t xml:space="preserve">(2)</w:t>
      </w:r>
      <w:r xml:space="preserve">
        <w:t> </w:t>
      </w:r>
      <w:r xml:space="preserve">
        <w:t> </w:t>
      </w:r>
      <w:r>
        <w:t xml:space="preserve">"Administrator" has the meaning assigned by Section </w:t>
      </w:r>
      <w:r>
        <w:t xml:space="preserve">4151.001</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259.002.</w:t>
      </w:r>
      <w:r xml:space="preserve">
        <w:t> </w:t>
      </w:r>
      <w:r xml:space="preserve">
        <w:t> </w:t>
      </w:r>
      <w:r>
        <w:t xml:space="preserve">MAINTENANCE TAX IMPOSED.  A maintenance tax is imposed on each authorized administrator with administrative or service fees subject to taxation under Section </w:t>
      </w:r>
      <w:r>
        <w:t xml:space="preserve">259.004</w:t>
      </w:r>
      <w:r>
        <w:t xml:space="preserve">.  The tax required by this chapter is in addition to other taxes imposed that are not in conflict with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259.003.</w:t>
      </w:r>
      <w:r xml:space="preserve">
        <w:t> </w:t>
      </w:r>
      <w:r xml:space="preserve">
        <w:t> </w:t>
      </w:r>
      <w:r>
        <w:t xml:space="preserve">MAXIMUM RATE;  ANNUAL ADJUSTMENT.  (a)  The rate of assessment set by the commissioner may not exceed one percent of the administrative or service fees subject to taxation under Section </w:t>
      </w:r>
      <w:r>
        <w:t xml:space="preserve">259.004</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maintenance tax so that the tax imposed that year, together with any unexpended funds produced by the tax, produces the amount the commissioner determines is necessary to pay the expenses of regulating administrators.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259.004.</w:t>
      </w:r>
      <w:r xml:space="preserve">
        <w:t> </w:t>
      </w:r>
      <w:r xml:space="preserve">
        <w:t> </w:t>
      </w:r>
      <w:r>
        <w:t xml:space="preserve">ADMINISTRATIVE AND SERVICE FEES SUBJECT TO TAXATION.  An administrator shall pay maintenance taxes under this chapter on the administrator's correctly reported administrative or service fees.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259.005.</w:t>
      </w:r>
      <w:r xml:space="preserve">
        <w:t> </w:t>
      </w:r>
      <w:r xml:space="preserve">
        <w:t> </w:t>
      </w:r>
      <w:r>
        <w:t xml:space="preserve">MAINTENANCE TAX DUE DATES.  The administrator shall pay the maintenance tax annually, semiannually, or on another periodic basis, as determined by the comptroller.</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