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11. TITLE INSURANCE</w:t>
      </w:r>
    </w:p>
    <w:p w:rsidR="003F3435" w:rsidRDefault="0032493E">
      <w:pPr>
        <w:spacing w:line="480" w:lineRule="auto"/>
        <w:jc w:val="center"/>
      </w:pPr>
      <w:r>
        <w:t xml:space="preserve">SUBTITLE C. FINANCIAL SOLVENCY</w:t>
      </w:r>
    </w:p>
    <w:p w:rsidR="003F3435" w:rsidRDefault="0032493E">
      <w:pPr>
        <w:spacing w:line="480" w:lineRule="auto"/>
        <w:jc w:val="center"/>
      </w:pPr>
      <w:r>
        <w:t xml:space="preserve">CHAPTER 2601. SUPERVISION, LIQUIDATION, REHABILITATION, REORGANIZATION, OR CONSERVATION OF TITLE INSURANCE COMPANIES AND AGENTS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2601.001.</w:t>
      </w:r>
      <w:r xml:space="preserve">
        <w:t> </w:t>
      </w:r>
      <w:r xml:space="preserve">
        <w:t> </w:t>
      </w:r>
      <w:r>
        <w:t xml:space="preserve">SUPERVISION, LIQUIDATION, REHABILITATION, REORGANIZATION, OR CONSERVATION OF TITLE INSURANCE COMPANIES AND AGENTS.  Each title insurance agent and title insurance company is subject to Chapters </w:t>
      </w:r>
      <w:r>
        <w:t xml:space="preserve">441</w:t>
      </w:r>
      <w:r>
        <w:t xml:space="preserve"> and </w:t>
      </w:r>
      <w:r>
        <w:t xml:space="preserve">443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1274, Sec. 6, eff. April 1, 2005.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2007, 80th Leg., R.S., Ch. 730 (H.B. </w:t>
      </w:r>
      <w:hyperlink w:docLocation="table" r:id="rId14">
        <w:r>
          <w:rPr>
            <w:rStyle w:val="Hyperlink"/>
          </w:rPr>
          <w:t>2636</w:t>
        </w:r>
      </w:hyperlink>
      <w:r>
        <w:t xml:space="preserve">), Sec. 2I.003, eff. April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2636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