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5. PROTECTION OF CONSUMER INTERESTS</w:t>
      </w:r>
    </w:p>
    <w:p w:rsidR="003F3435" w:rsidRDefault="0032493E">
      <w:pPr>
        <w:spacing w:line="480" w:lineRule="auto"/>
        <w:jc w:val="center"/>
      </w:pPr>
      <w:r>
        <w:t xml:space="preserve">SUBTITLE B. CONSUMER SERVICE PROVISIONS</w:t>
      </w:r>
    </w:p>
    <w:p w:rsidR="003F3435" w:rsidRDefault="0032493E">
      <w:pPr>
        <w:spacing w:line="480" w:lineRule="auto"/>
        <w:jc w:val="center"/>
      </w:pPr>
      <w:r>
        <w:t xml:space="preserve">CHAPTER 524A.  PUBLIC EDUCATION ON HEALTH COVERAGE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524A.001.</w:t>
      </w:r>
      <w:r xml:space="preserve">
        <w:t> </w:t>
      </w:r>
      <w:r xml:space="preserve">
        <w:t> </w:t>
      </w:r>
      <w:r>
        <w:t xml:space="preserve">BIENNIAL HEALTH COVERAGE REFERENCE GUIDE.  (a)</w:t>
      </w:r>
      <w:r xml:space="preserve">
        <w:t> </w:t>
      </w:r>
      <w:r xml:space="preserve">
        <w:t> </w:t>
      </w:r>
      <w:r>
        <w:t xml:space="preserve">The department shall consult with the Health and Human Services Commission to develop a biennial reference guide designed to educate the public about health coverage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reference guide must include the following information: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biennial period covered by the current edition;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definitions of the term "health insurance" and terms used to describe other forms of health coverage;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sources from which consumers may obtain health coverage, including through employers, and an explanation of how coverage may be obtained from each of those sources;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guide to consumer rights and resources related to health coverage;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health coverage shopping guide that includes: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explanation of discount cards and other noninsurance health coverage products and a comparison of those products to health insurance;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explanation and comparison of common types of short-term or disease-specific health coverage;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explanation and comparison of preferred provider benefit plans, exclusive provider benefit plans, health maintenance organizations, and point-of-service plans;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explanation of provider networks and the differences between in-network providers and out-of-network providers;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an explanation of the Affordable Care Act marketplace plan categories of bronze, silver, gold, and platinum;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an explanation of the out-of-pocket costs of health coverage, including premiums, deductibles, copayments, and coinsurance;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information on how to recognize health coverage scams;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an explanation of the effect of the Consolidated Omnibus Budget Reconciliation Act of 1985 (Pub. L. No. 99-272) on consumers' health coverage;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basic overview of federal, state, and local programs that may assist consumers to obtain health care services;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methods for a consumer to resolve disputes with a health coverage issuer or administrator;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methods to seek assistance from the department for a complaint regarding a health coverage plan or product;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the areas of health coverage regulated by the department and those regulated by federal law, including the Employee Retirement Income Security Act of 1974 (29 U.S.C. Section 1001 et seq.).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department shall publish the reference guide developed under this section on the department's Internet website and in a printed form available to the public on request.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696 (S.B. </w:t>
      </w:r>
      <w:hyperlink w:docLocation="table" r:id="rId14">
        <w:r>
          <w:rPr>
            <w:rStyle w:val="Hyperlink"/>
          </w:rPr>
          <w:t>1307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1307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