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5. PROTECTION OF CONSUMER INTERESTS</w:t>
      </w:r>
    </w:p>
    <w:p w:rsidR="003F3435" w:rsidRDefault="0032493E">
      <w:pPr>
        <w:spacing w:line="480" w:lineRule="auto"/>
        <w:jc w:val="center"/>
      </w:pPr>
      <w:r>
        <w:t xml:space="preserve">SUBTITLE C. DECEPTIVE, UNFAIR, AND PROHIBITED PRACTICES</w:t>
      </w:r>
    </w:p>
    <w:p w:rsidR="003F3435" w:rsidRDefault="0032493E">
      <w:pPr>
        <w:spacing w:line="480" w:lineRule="auto"/>
        <w:jc w:val="center"/>
      </w:pPr>
      <w:r>
        <w:t xml:space="preserve">CHAPTER 563.  PRACTICES RELATING TO CLAIMS REPORTING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563.001.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"Claims database" means a database used by insurers to share, among insurers, insureds' claims histories or damage reports concerning covered properties.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"Insurer," "personal automobile insurance," and "residential property insurance" have the meanings assigned by Section </w:t>
      </w:r>
      <w:r>
        <w:t xml:space="preserve">2254.001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1147 (H.B. </w:t>
      </w:r>
      <w:hyperlink w:docLocation="table" r:id="rId14">
        <w:r>
          <w:rPr>
            <w:rStyle w:val="Hyperlink"/>
          </w:rPr>
          <w:t>1951</w:t>
        </w:r>
      </w:hyperlink>
      <w:r>
        <w:t xml:space="preserve">), Sec. 13.001,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563.002.</w:t>
      </w:r>
      <w:r xml:space="preserve">
        <w:t> </w:t>
      </w:r>
      <w:r xml:space="preserve">
        <w:t> </w:t>
      </w:r>
      <w:r>
        <w:t xml:space="preserve">REPORTING TO CLAIMS DATABASE.</w:t>
      </w:r>
      <w:r xml:space="preserve">
        <w:t> </w:t>
      </w:r>
      <w:r xml:space="preserve">
        <w:t> </w:t>
      </w:r>
      <w:r>
        <w:t xml:space="preserve">An insurer or an insurer's agent may not report to a claims database information regarding an inquiry by an insured regarding coverage provided under a personal automobile insurance policy or a residential property insurance policy unless and until the insured files a claim under the policy.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1147 (H.B. </w:t>
      </w:r>
      <w:hyperlink w:docLocation="table" r:id="rId15">
        <w:r>
          <w:rPr>
            <w:rStyle w:val="Hyperlink"/>
          </w:rPr>
          <w:t>1951</w:t>
        </w:r>
      </w:hyperlink>
      <w:r>
        <w:t xml:space="preserve">), Sec. 13.001, eff. September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1951F.HTM" TargetMode="External" Id="rId14" /><Relationship Type="http://schemas.openxmlformats.org/officeDocument/2006/relationships/hyperlink" Target="http://capitol.texas.gov/tlodocs/82R/billtext/html/HB01951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