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5. PROTECTION OF CONSUMER INTERESTS</w:t>
      </w:r>
    </w:p>
    <w:p w:rsidR="003F3435" w:rsidRDefault="0032493E">
      <w:pPr>
        <w:spacing w:line="480" w:lineRule="auto"/>
        <w:jc w:val="center"/>
      </w:pPr>
      <w:r>
        <w:t xml:space="preserve">SUBTITLE C. DECEPTIVE, UNFAIR, AND PROHIBITED PRACTICES</w:t>
      </w:r>
    </w:p>
    <w:p w:rsidR="003F3435" w:rsidRDefault="0032493E">
      <w:pPr>
        <w:spacing w:line="480" w:lineRule="auto"/>
        <w:jc w:val="center"/>
      </w:pPr>
      <w:r>
        <w:t xml:space="preserve">CHAPTER 566.  BILLING FOR CERTAIN MEDICAL EQUIPMENT, DEVICES, AND SUPPLIES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566.001.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"Assignment" means an agreement in which a supplier agrees to accept the Medicare-approved amount as payment for medical equipment or a medical device or supply.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"Durable medical equipment" means medical equipment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can withstand repeated use;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expected to last at least three years;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is primarily and customarily used to serve a medical purpose;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is generally not useful in the absence of an illness or injury;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is appropriate for use in the home.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"Enrollee" means an individual enrolled in Medicare.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"Medicare" means the health benefit coverage provided under the Health Insurance for the Aged Act (42 U.S.C. Section 1395 et seq.).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"Nonparticipating supplier" means an entity or person who: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provides Medicare-covered durable medical equipment, orthotic devices or supplies, or prosthetic devices or supplies to Medicare enrollees;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not enrolled in Medicare as a participating supplier.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"Orthotic device or supply"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custom-fitted or custom-fabricated medical device designed to correct a deformity, improve function, or relieve symptoms of a disease;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medical supply related to a device described by Paragraph (A).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"Prosthetic device or supply"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artificial medical device designed to replace all or part of a limb or internal organ;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medical supply related to a device described by Paragraph (A).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1003 (S.B. </w:t>
      </w:r>
      <w:hyperlink w:docLocation="table" r:id="rId14">
        <w:r>
          <w:rPr>
            <w:rStyle w:val="Hyperlink"/>
          </w:rPr>
          <w:t>1330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REGULATION OF CERTAIN BILLING PRACTICES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566.051.</w:t>
      </w:r>
      <w:r xml:space="preserve">
        <w:t> </w:t>
      </w:r>
      <w:r xml:space="preserve">
        <w:t> </w:t>
      </w:r>
      <w:r>
        <w:t xml:space="preserve">LIMITATIONS ON BILLING; NOTICE.  (a)</w:t>
      </w:r>
      <w:r xml:space="preserve">
        <w:t> </w:t>
      </w:r>
      <w:r xml:space="preserve">
        <w:t> </w:t>
      </w:r>
      <w:r>
        <w:t xml:space="preserve">A nonparticipating supplier may not charge an enrollee more than 115 percent of the Medicare-approved amount for durable medical equipment, orthotic devices or supplies, or prosthetic devices or supplies covered under Medicare for which the supplier has not accepted written assignment unless: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before the enrollee is billed, the enrollee agrees in writing to pay the additional amount;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before receiving the durable medical equipment, orthotic device or supply, or prosthetic device or supply, the enrollee: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enters into a rental payment plan;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pays the additional amount in full.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written agreement between a nonparticipating supplier and enrollee under this section must provide notice to the enrollee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Medicare will reimburse 80 percent of the Medicare-approved amount for durable medical equipment, orthotic devices or supplies, or prosthetic devices or supplies covered under Medicare;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Medicare supplement benefit plan issuer is not required to reimburse the nonparticipating supplier or enrollee for the amount by which the charge exceeds 115 percent of the Medicare-approved amount.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1003 (S.B. </w:t>
      </w:r>
      <w:hyperlink w:docLocation="table" r:id="rId15">
        <w:r>
          <w:rPr>
            <w:rStyle w:val="Hyperlink"/>
          </w:rPr>
          <w:t>1330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ENFORCEMENT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566.101.</w:t>
      </w:r>
      <w:r xml:space="preserve">
        <w:t> </w:t>
      </w:r>
      <w:r xml:space="preserve">
        <w:t> </w:t>
      </w:r>
      <w:r>
        <w:t xml:space="preserve">APPLICATION OF DECEPTIVE TRADE PRACTICES LAW.</w:t>
      </w:r>
      <w:r xml:space="preserve">
        <w:t> </w:t>
      </w:r>
      <w:r xml:space="preserve">
        <w:t> </w:t>
      </w:r>
      <w:r>
        <w:t xml:space="preserve">A nonparticipating supplier who violates this chapter engages in a false, misleading, or deceptive act or practice under Section </w:t>
      </w:r>
      <w:r>
        <w:t xml:space="preserve">17.46</w:t>
      </w:r>
      <w:r>
        <w:t xml:space="preserve">, Business &amp; Commerce Code.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1003 (S.B. </w:t>
      </w:r>
      <w:hyperlink w:docLocation="table" r:id="rId16">
        <w:r>
          <w:rPr>
            <w:rStyle w:val="Hyperlink"/>
          </w:rPr>
          <w:t>1330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566.102.</w:t>
      </w:r>
      <w:r xml:space="preserve">
        <w:t> </w:t>
      </w:r>
      <w:r xml:space="preserve">
        <w:t> </w:t>
      </w:r>
      <w:r>
        <w:t xml:space="preserve">CRIMINAL OFFENSE.  (a)</w:t>
      </w:r>
      <w:r xml:space="preserve">
        <w:t> </w:t>
      </w:r>
      <w:r xml:space="preserve">
        <w:t> </w:t>
      </w:r>
      <w:r>
        <w:t xml:space="preserve">A nonparticipating supplier who intentionally violates this chapter commits an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misdemeanor punishable by a fine of not less than $500 or more than $1,000.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Notwithstanding any other law, an offense under this section may be prosecuted 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Travis County;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county in which prosecution is authorized under the Code of Criminal Procedure.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1003 (S.B. </w:t>
      </w:r>
      <w:hyperlink w:docLocation="table" r:id="rId17">
        <w:r>
          <w:rPr>
            <w:rStyle w:val="Hyperlink"/>
          </w:rPr>
          <w:t>1330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SB01330F.HTM" TargetMode="External" Id="rId14" /><Relationship Type="http://schemas.openxmlformats.org/officeDocument/2006/relationships/hyperlink" Target="http://capitol.texas.gov/tlodocs/89R/billtext/html/SB01330F.HTM" TargetMode="External" Id="rId15" /><Relationship Type="http://schemas.openxmlformats.org/officeDocument/2006/relationships/hyperlink" Target="http://capitol.texas.gov/tlodocs/89R/billtext/html/SB01330F.HTM" TargetMode="External" Id="rId16" /><Relationship Type="http://schemas.openxmlformats.org/officeDocument/2006/relationships/hyperlink" Target="http://capitol.texas.gov/tlodocs/89R/billtext/html/SB01330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