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5. PROTECTION OF CONSUMER INTERESTS</w:t>
      </w:r>
    </w:p>
    <w:p w:rsidR="003F3435" w:rsidRDefault="0032493E">
      <w:pPr>
        <w:spacing w:line="480" w:lineRule="auto"/>
        <w:jc w:val="center"/>
      </w:pPr>
      <w:r>
        <w:t xml:space="preserve">SUBTITLE F.  INSURANCE FRAUD AND IDENTITY THEFT</w:t>
      </w:r>
    </w:p>
    <w:p w:rsidR="003F3435" w:rsidRDefault="0032493E">
      <w:pPr>
        <w:spacing w:line="480" w:lineRule="auto"/>
        <w:jc w:val="center"/>
      </w:pPr>
      <w:r>
        <w:t xml:space="preserve">CHAPTER 706.  IDENTITY THEFT INSURANCE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706.001.</w:t>
      </w:r>
      <w:r xml:space="preserve">
        <w:t> </w:t>
      </w:r>
      <w:r xml:space="preserve">
        <w:t> </w:t>
      </w:r>
      <w:r>
        <w:t xml:space="preserve">DEFINITIONS.  (a)  The definitions adopted under Sections </w:t>
      </w:r>
      <w:r>
        <w:t xml:space="preserve">2251.002</w:t>
      </w:r>
      <w:r>
        <w:t xml:space="preserve"> and </w:t>
      </w:r>
      <w:r>
        <w:t xml:space="preserve">2301.002</w:t>
      </w:r>
      <w:r>
        <w:t xml:space="preserve"> and the terms described by Sections </w:t>
      </w:r>
      <w:r>
        <w:t xml:space="preserve">2251.003</w:t>
      </w:r>
      <w:r>
        <w:t xml:space="preserve"> and </w:t>
      </w:r>
      <w:r>
        <w:t xml:space="preserve">2301.003</w:t>
      </w:r>
      <w:r xml:space="preserve">
        <w:t> </w:t>
      </w:r>
      <w:r xml:space="preserve">
        <w:t> </w:t>
      </w:r>
      <w:r>
        <w:t xml:space="preserve">apply to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this chapter, "identity theft" means a criminal offense described by Section </w:t>
      </w:r>
      <w:r>
        <w:t xml:space="preserve">32.51</w:t>
      </w:r>
      <w:r>
        <w:t xml:space="preserve">, Penal Code, or a substantially similar federal law or law in another state.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102 (S.B. </w:t>
      </w:r>
      <w:hyperlink w:docLocation="table" r:id="rId14">
        <w:r>
          <w:rPr>
            <w:rStyle w:val="Hyperlink"/>
          </w:rPr>
          <w:t>99</w:t>
        </w:r>
      </w:hyperlink>
      <w:r>
        <w:t xml:space="preserve">), Sec. 3, eff. September 1, 2005.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730 (H.B. </w:t>
      </w:r>
      <w:hyperlink w:docLocation="table" r:id="rId15">
        <w:r>
          <w:rPr>
            <w:rStyle w:val="Hyperlink"/>
          </w:rPr>
          <w:t>2636</w:t>
        </w:r>
      </w:hyperlink>
      <w:r>
        <w:t xml:space="preserve">), Sec. 2D.017,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706.002.</w:t>
      </w:r>
      <w:r xml:space="preserve">
        <w:t> </w:t>
      </w:r>
      <w:r xml:space="preserve">
        <w:t> </w:t>
      </w:r>
      <w:r>
        <w:t xml:space="preserve">COVERAGE AUTHORIZED.  (a)  An insurer authorized to write property and casualty insurance in this state may offer and issue insurance coverage for a loss suffered by a policyholder as a result of the policyholders' being a victim of identity theft or attempted identity theft.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Coverage authorized by Subsection (a) may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offered as a separate insurance policy or as a rider or endorsement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residential and commercial property insurance policy;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personal or commercial casualty insurance policy;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underwritten and issued as an individual or group insurance policy.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102 (S.B. </w:t>
      </w:r>
      <w:hyperlink w:docLocation="table" r:id="rId16">
        <w:r>
          <w:rPr>
            <w:rStyle w:val="Hyperlink"/>
          </w:rPr>
          <w:t>99</w:t>
        </w:r>
      </w:hyperlink>
      <w:r>
        <w:t xml:space="preserve">), Sec. 3,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706.003.</w:t>
      </w:r>
      <w:r xml:space="preserve">
        <w:t> </w:t>
      </w:r>
      <w:r xml:space="preserve">
        <w:t> </w:t>
      </w:r>
      <w:r>
        <w:t xml:space="preserve">ELIGIBLE POLICYHOLDERS.  (a)  An insurer may issue coverage authorized under Section </w:t>
      </w:r>
      <w:r>
        <w:t xml:space="preserve">706.002</w:t>
      </w:r>
      <w:r>
        <w:t xml:space="preserve">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individual;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group, business, employer, association, trustee, or other entity for the benefit of its members, customers, employees, members, or beneficiaries.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entity described by Subsection (a)(2) may be a group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formed solely for the purpose of obtaining insurance coverage under this chapter;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has already been formed for a purpose other than for obtaining insurance coverage under this chapter and that is described by Subsection (a)(2).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102 (S.B. </w:t>
      </w:r>
      <w:hyperlink w:docLocation="table" r:id="rId17">
        <w:r>
          <w:rPr>
            <w:rStyle w:val="Hyperlink"/>
          </w:rPr>
          <w:t>99</w:t>
        </w:r>
      </w:hyperlink>
      <w:r>
        <w:t xml:space="preserve">), Sec. 3, eff. September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706.004.</w:t>
      </w:r>
      <w:r xml:space="preserve">
        <w:t> </w:t>
      </w:r>
      <w:r xml:space="preserve">
        <w:t> </w:t>
      </w:r>
      <w:r>
        <w:t xml:space="preserve">RATES AND FORMS.  Notwithstanding any other law, rates and forms for insurance coverage issued under this chapter are governed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Subchapters A-E, Chapter </w:t>
      </w:r>
      <w:r>
        <w:t xml:space="preserve">2251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A</w:t>
      </w:r>
      <w:r>
        <w:t xml:space="preserve">, Chapter </w:t>
      </w:r>
      <w:r>
        <w:t xml:space="preserve">2301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Article 5.13-2.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102 (S.B. </w:t>
      </w:r>
      <w:hyperlink w:docLocation="table" r:id="rId18">
        <w:r>
          <w:rPr>
            <w:rStyle w:val="Hyperlink"/>
          </w:rPr>
          <w:t>99</w:t>
        </w:r>
      </w:hyperlink>
      <w:r>
        <w:t xml:space="preserve">), Sec. 3, eff. September 1, 2005.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730 (H.B. </w:t>
      </w:r>
      <w:hyperlink w:docLocation="table" r:id="rId19">
        <w:r>
          <w:rPr>
            <w:rStyle w:val="Hyperlink"/>
          </w:rPr>
          <w:t>2636</w:t>
        </w:r>
      </w:hyperlink>
      <w:r>
        <w:t xml:space="preserve">), Sec. 2D.018,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706.005.</w:t>
      </w:r>
      <w:r xml:space="preserve">
        <w:t> </w:t>
      </w:r>
      <w:r xml:space="preserve">
        <w:t> </w:t>
      </w:r>
      <w:r>
        <w:t xml:space="preserve">RULES.  The commissioner may adopt rules as necessary to implement this chapter.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102 (S.B. </w:t>
      </w:r>
      <w:hyperlink w:docLocation="table" r:id="rId20">
        <w:r>
          <w:rPr>
            <w:rStyle w:val="Hyperlink"/>
          </w:rPr>
          <w:t>99</w:t>
        </w:r>
      </w:hyperlink>
      <w:r>
        <w:t xml:space="preserve">), Sec. 3, eff. September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SB00099F.HTM" TargetMode="External" Id="rId14" /><Relationship Type="http://schemas.openxmlformats.org/officeDocument/2006/relationships/hyperlink" Target="http://capitol.texas.gov/tlodocs/80R/billtext/html/HB02636F.HTM" TargetMode="External" Id="rId15" /><Relationship Type="http://schemas.openxmlformats.org/officeDocument/2006/relationships/hyperlink" Target="http://capitol.texas.gov/tlodocs/79R/billtext/html/SB00099F.HTM" TargetMode="External" Id="rId16" /><Relationship Type="http://schemas.openxmlformats.org/officeDocument/2006/relationships/hyperlink" Target="http://capitol.texas.gov/tlodocs/79R/billtext/html/SB00099F.HTM" TargetMode="External" Id="rId17" /><Relationship Type="http://schemas.openxmlformats.org/officeDocument/2006/relationships/hyperlink" Target="http://capitol.texas.gov/tlodocs/79R/billtext/html/SB00099F.HTM" TargetMode="External" Id="rId18" /><Relationship Type="http://schemas.openxmlformats.org/officeDocument/2006/relationships/hyperlink" Target="http://capitol.texas.gov/tlodocs/80R/billtext/html/HB02636F.HTM" TargetMode="External" Id="rId19" /><Relationship Type="http://schemas.openxmlformats.org/officeDocument/2006/relationships/hyperlink" Target="http://capitol.texas.gov/tlodocs/79R/billtext/html/SB00099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