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LOCAL GOVERNMENT CODE</w:t>
      </w:r>
    </w:p>
    <w:p w:rsidR="003F3435" w:rsidRDefault="0032493E">
      <w:pPr>
        <w:spacing w:line="480" w:lineRule="auto"/>
        <w:jc w:val="center"/>
      </w:pPr>
      <w:r>
        <w:t xml:space="preserve">TITLE 5. MATTERS AFFECTING PUBLIC OFFICERS AND EMPLOYEES</w:t>
      </w:r>
    </w:p>
    <w:p w:rsidR="003F3435" w:rsidRDefault="0032493E">
      <w:pPr>
        <w:spacing w:line="480" w:lineRule="auto"/>
        <w:jc w:val="center"/>
      </w:pPr>
      <w:r>
        <w:t xml:space="preserve">SUBTITLE B. COUNTY OFFICERS AND EMPLOYEES</w:t>
      </w:r>
    </w:p>
    <w:p w:rsidR="003F3435" w:rsidRDefault="0032493E">
      <w:pPr>
        <w:spacing w:line="480" w:lineRule="auto"/>
        <w:jc w:val="center"/>
      </w:pPr>
      <w:r>
        <w:t xml:space="preserve">CHAPTER 153. COMPENSATION OF COUNTY OFFICERS ON FEE BASIS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153.001.</w:t>
      </w:r>
      <w:r xml:space="preserve">
        <w:t> </w:t>
      </w:r>
      <w:r xml:space="preserve">
        <w:t> </w:t>
      </w:r>
      <w:r>
        <w:t xml:space="preserve">COUNTY TREASURER'S COMMISSION FOR RECEIVING OR PAYING OUT MONEY.  (a)  In a county in which the county treasurer is compensated on a fee basis, the treasurer is entitled to the following commissions for receiving and paying out money for the county: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for money other than school funds, a percentage set by order of the commissioners court not to exceed 2-1/2 percent of the money received and a percentage set by order of the court not to exceed 2-1/2 percent of the money paid out;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for school funds, one-half percent of the money received and one-half percent of the money paid out.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commission earned under Subsection (a)(2) is payable from the available school fund of the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county treasurer may not receive a commission under this section for money received from the treasurer's predecessor or money paid to the treasurer's successor.  A county treasurer may not receive a commission under Subsection (a)(2) for transferring money.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153.002.</w:t>
      </w:r>
      <w:r xml:space="preserve">
        <w:t> </w:t>
      </w:r>
      <w:r xml:space="preserve">
        <w:t> </w:t>
      </w:r>
      <w:r>
        <w:t xml:space="preserve">FEE FOR KEEPING LEDGER AND MAKING STATEMENTS.  In a county that does not have the office of county auditor and in which the county treasurer is compensated on a fee basis, the treasurer is entitled to annual compensation for keeping the county finance ledger and for making the statements required by Section </w:t>
      </w:r>
      <w:r>
        <w:t xml:space="preserve">114.021</w:t>
      </w:r>
      <w:r>
        <w:t xml:space="preserve">.</w:t>
      </w:r>
      <w:r xml:space="preserve">
        <w:t> </w:t>
      </w:r>
      <w:r xml:space="preserve">
        <w:t> </w:t>
      </w:r>
      <w:r>
        <w:t xml:space="preserve">The compensation is in an amount that equals $5 for each $1,000 tax assessed and due to the county, but the amount may not be less than $100 or more than $250.</w:t>
      </w:r>
      <w:r xml:space="preserve">
        <w:t> </w:t>
      </w:r>
      <w:r xml:space="preserve">
        <w:t> </w:t>
      </w:r>
      <w:r>
        <w:t xml:space="preserve">Compensation under this section is paid on the order of the commissioners court.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207 (H.B. </w:t>
      </w:r>
      <w:hyperlink w:docLocation="table" r:id="rId14">
        <w:r>
          <w:rPr>
            <w:rStyle w:val="Hyperlink"/>
          </w:rPr>
          <w:t>398</w:t>
        </w:r>
      </w:hyperlink>
      <w:r>
        <w:t xml:space="preserve">), Sec. 3, eff. May 25,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153.003.</w:t>
      </w:r>
      <w:r xml:space="preserve">
        <w:t> </w:t>
      </w:r>
      <w:r xml:space="preserve">
        <w:t> </w:t>
      </w:r>
      <w:r>
        <w:t xml:space="preserve">MONTHLY STATEMENT OF EXPENSES OF OFFICERS.  (a)  At the end of each month, a county officer who is compensated on a fee basis shall prepare an itemized and sworn statement of the actual and necessary expenses incurred by the officer in the conduct of the office.  The statement shall be made a part of the fees statement required by Section </w:t>
      </w:r>
      <w:r>
        <w:t xml:space="preserve">114.041</w:t>
      </w:r>
      <w:r>
        <w:t xml:space="preserve"> and must contain: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name of the case, if any, in connection with which an expense is incurred;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name and position of, and the amount of the salary actually paid to, each assistant or deputy of the officer.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For the purposes of this section, actual and necessary expenses include expenses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travel, stationery, stamps, and telephone service;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premiums on officials' bonds, including surety bonds for deputies, and premiums on fire, burglary, theft, and robbery insurance to protect public funds.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salaries paid to the officer's assistants, deputies, and clerks and the incurred expenses shall be paid from fees earned by the officer.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0398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