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LOCAL GOVERNMENT CODE</w:t>
      </w:r>
    </w:p>
    <w:p w:rsidR="003F3435" w:rsidRDefault="0032493E">
      <w:pPr>
        <w:spacing w:line="480" w:lineRule="auto"/>
        <w:jc w:val="center"/>
      </w:pPr>
      <w:r>
        <w:t xml:space="preserve">TITLE 5. MATTERS AFFECTING PUBLIC OFFICERS AND EMPLOYEES</w:t>
      </w:r>
    </w:p>
    <w:p w:rsidR="003F3435" w:rsidRDefault="0032493E">
      <w:pPr>
        <w:spacing w:line="480" w:lineRule="auto"/>
        <w:jc w:val="center"/>
      </w:pPr>
      <w:r>
        <w:t xml:space="preserve">SUBTITLE B. COUNTY OFFICERS AND EMPLOYEES</w:t>
      </w:r>
    </w:p>
    <w:p w:rsidR="003F3435" w:rsidRDefault="0032493E">
      <w:pPr>
        <w:spacing w:line="480" w:lineRule="auto"/>
        <w:jc w:val="center"/>
      </w:pPr>
      <w:r>
        <w:t xml:space="preserve">CHAPTER 170. MISCELLANEOUS PROVISIONS AFFECTING COUNTY OFFICERS AND EMPLOYEES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170.001.</w:t>
      </w:r>
      <w:r xml:space="preserve">
        <w:t> </w:t>
      </w:r>
      <w:r xml:space="preserve">
        <w:t> </w:t>
      </w:r>
      <w:r>
        <w:t xml:space="preserve">REGULATION OF CERTAIN USE OF PRIVATELY OWNED VEHICLES.  (a)  The commissioners court of a county may adopt rules prohibiting or regulating the use of a privately owned motor vehicle for the performance of county business or law enforcement duties by a sheriff or constable or a deputy of a sheriff or constable.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This section does not authorize a commissioners court to adopt rules relating to the private use of a privately owned motor vehicle.</w:t>
      </w:r>
    </w:p>
    <w:p w:rsidR="003F3435" w:rsidRDefault="0032493E">
      <w:pPr>
        <w:spacing w:line="480" w:lineRule="auto"/>
        <w:jc w:val="both"/>
      </w:pPr>
      <w:r>
        <w:t xml:space="preserve">Added by Acts 1999, 76th Leg., ch. 644, Sec. 2, eff. Sept. 1, 1999.  Redesignated from Local Government Code Sec. 240.096 by Acts 2001, 77th Leg., ch. 1420, Sec. 12.001.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170.002.</w:t>
      </w:r>
      <w:r xml:space="preserve">
        <w:t> </w:t>
      </w:r>
      <w:r xml:space="preserve">
        <w:t> </w:t>
      </w:r>
      <w:r>
        <w:t xml:space="preserve">CODE OF ETHICS FOR CERTAIN COMMISSIONERS COURTS.  (a)</w:t>
      </w:r>
      <w:r xml:space="preserve">
        <w:t> </w:t>
      </w:r>
      <w:r xml:space="preserve">
        <w:t> </w:t>
      </w:r>
      <w:r>
        <w:t xml:space="preserve">This section applies to a county that has a population of less than 50,000 that is adjacent to a county with a population of more than 3.3 million.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commissioners court of a county subject to this section may adopt by order a code of ethics that provides standards of conduct for members of the commissioners court.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If a commissioners court of a county subject to this section adopts a code of ethics under this section, the code of ethics must require each member of the commissioners court to file a conflicts disclosure statement that is in addition to the statement required by Section </w:t>
      </w:r>
      <w:r>
        <w:t xml:space="preserve">176.003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1070 (H.B. </w:t>
      </w:r>
      <w:hyperlink w:docLocation="table" r:id="rId14">
        <w:r>
          <w:rPr>
            <w:rStyle w:val="Hyperlink"/>
          </w:rPr>
          <w:t>1495</w:t>
        </w:r>
      </w:hyperlink>
      <w:r>
        <w:t xml:space="preserve">), Sec. 6, eff. June 14, 2019.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2023, 88th Leg., R.S., Ch. 644 (H.B. </w:t>
      </w:r>
      <w:hyperlink w:docLocation="table" r:id="rId15">
        <w:r>
          <w:rPr>
            <w:rStyle w:val="Hyperlink"/>
          </w:rPr>
          <w:t>4559</w:t>
        </w:r>
      </w:hyperlink>
      <w:r>
        <w:t xml:space="preserve">), Sec. 138, eff.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6R/billtext/html/HB01495F.HTM" TargetMode="External" Id="rId14" /><Relationship Type="http://schemas.openxmlformats.org/officeDocument/2006/relationships/hyperlink" Target="http://capitol.texas.gov/tlodocs/88R/billtext/html/HB04559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