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7. REGULATION OF LAND USE, STRUCTURES, BUSINESSES, AND RELATED ACTIVITIES</w:t>
      </w:r>
    </w:p>
    <w:p w:rsidR="003F3435" w:rsidRDefault="0032493E">
      <w:pPr>
        <w:spacing w:line="480" w:lineRule="auto"/>
        <w:jc w:val="center"/>
      </w:pPr>
      <w:r>
        <w:t xml:space="preserve">SUBTITLE A. MUNICIPAL REGULATORY AUTHORITY</w:t>
      </w:r>
    </w:p>
    <w:p w:rsidR="003F3435" w:rsidRDefault="0032493E">
      <w:pPr>
        <w:spacing w:line="480" w:lineRule="auto"/>
        <w:jc w:val="center"/>
      </w:pPr>
      <w:r>
        <w:t xml:space="preserve">CHAPTER 218.  REGULATION OF MIXED-USE AND MULTIFAMILY RESIDENTIAL USE AND DEVELOPMENT IN CERTAIN MUNICIPALITIES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"Heavy industrial use" means a storage, processing, or manufacturing use: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 processes using flammable or explosive materials;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with hazardous conditions;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that is noxious or offensive from odors, smoke, noise, fumes, or vibrations.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"Mixed-use residential," when used to describe land use or development, means the use or development, as applicable, of a site consisting of residential and nonresidential uses in which the residential uses are at least 65 percent of the total square footage of the development.</w:t>
      </w:r>
      <w:r xml:space="preserve">
        <w:t> </w:t>
      </w:r>
      <w:r xml:space="preserve">
        <w:t> </w:t>
      </w:r>
      <w:r>
        <w:t xml:space="preserve">The term includes the use or development of a condominium.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"Multifamily residential," when used to describe land use or development, means the use or development, as applicable, of a site for three or more dwelling units within one or more buildings.</w:t>
      </w:r>
      <w:r xml:space="preserve">
        <w:t> </w:t>
      </w:r>
      <w:r xml:space="preserve">
        <w:t> </w:t>
      </w:r>
      <w:r>
        <w:t xml:space="preserve">The term includes the use or development of a residential condominium.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14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15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218.002.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chapter applies only to a municipality with a population greater than 150,000 that is wholly or partly located in a county with a population greater than 300,000.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16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17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218.003.</w:t>
      </w:r>
      <w:r xml:space="preserve">
        <w:t> </w:t>
      </w:r>
      <w:r xml:space="preserve">
        <w:t> </w:t>
      </w:r>
      <w:r>
        <w:t xml:space="preserve">NO EFFECT ON OTHER RESTRICTIONS AND RULES.</w:t>
      </w:r>
      <w:r xml:space="preserve">
        <w:t> </w:t>
      </w:r>
      <w:r xml:space="preserve">
        <w:t> </w:t>
      </w:r>
      <w:r>
        <w:t xml:space="preserve">This chapter does not affect the authority of a municipality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apply the municipality's regulations on short-term rental units to a mixed-use residential or multifamily residential development;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adopt or enforce water quality protection regulations to implement or comply with water quality requirements under state or federal law, including Chapter </w:t>
      </w:r>
      <w:r>
        <w:t xml:space="preserve">366</w:t>
      </w:r>
      <w:r>
        <w:t xml:space="preserve">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adopt or enforce a density bonus program or other voluntary program that allows for site development standards that are less restrictive than the standards described by this chapter;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apply the following regulations that are generally applicable to other developments in the municipality: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otherwise provided by this chapter: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sewer and water access requirements;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building codes;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stormwater mitigation requirements;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regulations related to historic preservation, including protecting historic landmarks or property in the boundaries of a local historic district.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18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19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ZONING AND DEVELOPMENT REGULATIONS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218.101.</w:t>
      </w:r>
      <w:r xml:space="preserve">
        <w:t> </w:t>
      </w:r>
      <w:r xml:space="preserve">
        <w:t> </w:t>
      </w:r>
      <w:r>
        <w:t xml:space="preserve">MIXED-USE RESIDENTIAL AND MULTIFAMILY RESIDENTIAL USES ALLOWED.  (a)</w:t>
      </w:r>
      <w:r xml:space="preserve">
        <w:t> </w:t>
      </w:r>
      <w:r xml:space="preserve">
        <w:t> </w:t>
      </w:r>
      <w:r>
        <w:t xml:space="preserve">Notwithstanding any other law and subject to Subsection (c), a municipality shall allow mixed-use residential use and development or multifamily residential use and development in a zoning classification that allows office, commercial, retail, warehouse, or mixed-use use or development as an allowed use under the classification.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 and subject to Subsection (c), a municipality may not require the change of a zoning district or land use classification or regulation or an approval of an amendment, exception, or variance to a zoning district or land use classification or regulation prior to allowing a mixed-use residential use or development or multifamily residential use or development in an area covered by a zoning classification described by Subsection (a).</w:t>
      </w:r>
      <w:r xml:space="preserve">
        <w:t> </w:t>
      </w:r>
      <w:r xml:space="preserve">
        <w:t> </w:t>
      </w:r>
      <w:r>
        <w:t xml:space="preserve">An amendment, exception, or variance to a zoning district or land use classification or regulation includes a special exception, zoning variance, site development variance, subdivision variance, conditional use approval, special use permit, comprehensive plan amendment, or other discretionary approval to allow a mixed-use residential use or development or multifamily residential use or development.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zoning classification that allows heavy industrial use;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land located within: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1,000 feet of an existing heavy industrial use or development site;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3,000 feet of an airport or military base;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area designated by a municipality as a clear zone or accident potential zone.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0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21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218.102.</w:t>
      </w:r>
      <w:r xml:space="preserve">
        <w:t> </w:t>
      </w:r>
      <w:r xml:space="preserve">
        <w:t> </w:t>
      </w:r>
      <w:r>
        <w:t xml:space="preserve">REGULATION OF MIXED-USE RESIDENTIAL AND MULTIFAMILY RESIDENTIAL USE OR DEVELOPMENT.  (a)</w:t>
      </w:r>
      <w:r xml:space="preserve">
        <w:t> </w:t>
      </w:r>
      <w:r xml:space="preserve">
        <w:t> </w:t>
      </w:r>
      <w:r>
        <w:t xml:space="preserve">Notwithstanding any other law, a municipality may not adopt or enforce an ordinance, zoning restriction, or other regulation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imposes on a mixed-use residential or multifamily residential development: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limit on density that is more restrictive than the greater of: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the highest residential density allowed in the municipality; or 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36 units per acre;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limit on building height that is more restrictive than the greater of: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the highest height that would apply to an office, commercial, retail, or warehouse development constructed on the site;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45 feet;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setback or buffer requirement that is more restrictive than the lesser of: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 setback or buffer requirement that would apply to an office, commercial, retail, or warehouse development constructed on the site;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25 feet;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requires a mixed-use residential or multifamily residential development to provide: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more than one parking space per dwelling unit;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multilevel parking structure;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restricts the ratio of the total building floor area of a mixed-use residential or multifamily residential development in relation to the lot area of the development;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requires a multifamily residential development not located in an area zoned for mixed-use residential use to contain nonresidential uses.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if a municipal authority responsible for approving a building permit or other authorization required for the construction of a mixed-use residential or multifamily residential development determines that a proposed development meets municipal land development regulations in accordance with this subchapter, the municipal authority: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shall administratively approve the permit or other authorization;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not require further action by the governing body of the municipality for the approval to take effect.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2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23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FEES AND REGULATIONS APPLICABLE TO CONVERSION OF CERTAIN USES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218.201.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"permit" has the meaning assigned by Section </w:t>
      </w:r>
      <w:r>
        <w:t xml:space="preserve">245.001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4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1026 (S.B. </w:t>
      </w:r>
      <w:hyperlink w:docLocation="table" r:id="rId25">
        <w:r>
          <w:rPr>
            <w:rStyle w:val="Hyperlink"/>
          </w:rPr>
          <w:t>2477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218.202.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subchapter applies only to a building or the structural components of the building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being used for office, retail, or warehouse use;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proposed to be converted from nonresidential occupancy to mixed-use residential or multifamily residential occupancy for at least 65 percent of the building and at least 65 percent of each floor of the building that is fit for occupancy;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was constructed at least five years before the proposed date to start the conversion.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6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218.203.</w:t>
      </w:r>
      <w:r xml:space="preserve">
        <w:t> </w:t>
      </w:r>
      <w:r xml:space="preserve">
        <w:t> </w:t>
      </w:r>
      <w:r>
        <w:t xml:space="preserve">CERTAIN REGULATIONS PROHIBITED.</w:t>
      </w:r>
      <w:r xml:space="preserve">
        <w:t> </w:t>
      </w:r>
      <w:r xml:space="preserve">
        <w:t> </w:t>
      </w:r>
      <w:r>
        <w:t xml:space="preserve">Notwithstanding any other law, a municipality may not, in connection with the use, development, construction, or occupancy of a building proposed to be converted to mixed-use residential or multifamily residential use, require: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preparation of a traffic impact analysis or other study relating to the effect the proposed converted building would have on traffic or traffic operations;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construction of improvements or payment of a fee in connection with mitigating traffic effects related to the proposed converted building;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provision of additional parking spaces, other than the parking spaces that already exist on the site of the proposed converted building;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extension, upgrade, replacement, or oversizing of a utility facility except as necessary to provide the minimum capacity needed to serve the proposed converted building;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design requirement, including a requirement related to the exterior, windows, internal environment of a building, or interior space dimensions of an apartment, that is more restrictive than the applicable minimum standard under the International Building Code as adopted as a municipal commercial building code under Section </w:t>
      </w:r>
      <w:r>
        <w:t xml:space="preserve">214.216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7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218.204.</w:t>
      </w:r>
      <w:r xml:space="preserve">
        <w:t> </w:t>
      </w:r>
      <w:r xml:space="preserve">
        <w:t> </w:t>
      </w:r>
      <w:r>
        <w:t xml:space="preserve">IMPACT FEE PROHIBITED.</w:t>
      </w:r>
      <w:r xml:space="preserve">
        <w:t> </w:t>
      </w:r>
      <w:r xml:space="preserve">
        <w:t> </w:t>
      </w:r>
      <w:r>
        <w:t xml:space="preserve">Notwithstanding any other law, a municipality may not impose an impact fee, as defined by Section </w:t>
      </w:r>
      <w:r>
        <w:t xml:space="preserve">395.001</w:t>
      </w:r>
      <w:r>
        <w:t xml:space="preserve">, on land where a building has been converted to mixed-use residential or multifamily residential use unless the land on which the building is located was already subject to an impact fee before a building permit related to the conversion was filed with the municipality.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8">
        <w:r>
          <w:rPr>
            <w:rStyle w:val="Hyperlink"/>
          </w:rPr>
          <w:t>840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218.301.</w:t>
      </w:r>
      <w:r xml:space="preserve">
        <w:t> </w:t>
      </w:r>
      <w:r xml:space="preserve">
        <w:t> </w:t>
      </w:r>
      <w:r>
        <w:t xml:space="preserve">CIVIL ACTION.  (a)</w:t>
      </w:r>
      <w:r xml:space="preserve">
        <w:t> </w:t>
      </w:r>
      <w:r xml:space="preserve">
        <w:t> </w:t>
      </w:r>
      <w:r>
        <w:t xml:space="preserve">In this section, "housing organization" means a: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trade or industry group organized under the laws of this state consisting of local members primarily engaged in the construction or management of housing units;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nonprofit organization organized under the laws of this state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provides or advocates for increased access or reduced barriers to housing;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has filed written or oral comments with the legislature;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nonprofit organization that is engaged in public policy research, education, and outreach that includes housing policy-related issues and advocacy.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housing organization or other person adversely affected or aggrieved by a violation of this chapter may bring an action for declaratory or injunctive relief against a municipality.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court shall award court costs and reasonable attorney's fees to a claimant who prevails in an action brought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Notwithstanding any other law, including Chapter </w:t>
      </w:r>
      <w:r>
        <w:t xml:space="preserve">15</w:t>
      </w:r>
      <w:r>
        <w:t xml:space="preserve">, Civil Practice and Remedies Code, an action brought under this section must be brought in a county in which all or part of the real property that is the subject of the action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Notwithstanding any other law, the Fifteenth Court of Appeals has exclusive intermediate appellate jurisdiction over an action brought under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778 (S.B. </w:t>
      </w:r>
      <w:hyperlink w:docLocation="table" r:id="rId29">
        <w:r>
          <w:rPr>
            <w:rStyle w:val="Hyperlink"/>
          </w:rPr>
          <w:t>840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0840F.HTM" TargetMode="External" Id="rId14" /><Relationship Type="http://schemas.openxmlformats.org/officeDocument/2006/relationships/hyperlink" Target="http://capitol.texas.gov/tlodocs/89R/billtext/html/SB02477F.HTM" TargetMode="External" Id="rId15" /><Relationship Type="http://schemas.openxmlformats.org/officeDocument/2006/relationships/hyperlink" Target="http://capitol.texas.gov/tlodocs/89R/billtext/html/SB00840F.HTM" TargetMode="External" Id="rId16" /><Relationship Type="http://schemas.openxmlformats.org/officeDocument/2006/relationships/hyperlink" Target="http://capitol.texas.gov/tlodocs/89R/billtext/html/SB02477F.HTM" TargetMode="External" Id="rId17" /><Relationship Type="http://schemas.openxmlformats.org/officeDocument/2006/relationships/hyperlink" Target="http://capitol.texas.gov/tlodocs/89R/billtext/html/SB00840F.HTM" TargetMode="External" Id="rId18" /><Relationship Type="http://schemas.openxmlformats.org/officeDocument/2006/relationships/hyperlink" Target="http://capitol.texas.gov/tlodocs/89R/billtext/html/SB02477F.HTM" TargetMode="External" Id="rId19" /><Relationship Type="http://schemas.openxmlformats.org/officeDocument/2006/relationships/hyperlink" Target="http://capitol.texas.gov/tlodocs/89R/billtext/html/SB00840F.HTM" TargetMode="External" Id="rId20" /><Relationship Type="http://schemas.openxmlformats.org/officeDocument/2006/relationships/hyperlink" Target="http://capitol.texas.gov/tlodocs/89R/billtext/html/SB02477F.HTM" TargetMode="External" Id="rId21" /><Relationship Type="http://schemas.openxmlformats.org/officeDocument/2006/relationships/hyperlink" Target="http://capitol.texas.gov/tlodocs/89R/billtext/html/SB00840F.HTM" TargetMode="External" Id="rId22" /><Relationship Type="http://schemas.openxmlformats.org/officeDocument/2006/relationships/hyperlink" Target="http://capitol.texas.gov/tlodocs/89R/billtext/html/SB02477F.HTM" TargetMode="External" Id="rId23" /><Relationship Type="http://schemas.openxmlformats.org/officeDocument/2006/relationships/hyperlink" Target="http://capitol.texas.gov/tlodocs/89R/billtext/html/SB00840F.HTM" TargetMode="External" Id="rId24" /><Relationship Type="http://schemas.openxmlformats.org/officeDocument/2006/relationships/hyperlink" Target="http://capitol.texas.gov/tlodocs/89R/billtext/html/SB02477F.HTM" TargetMode="External" Id="rId25" /><Relationship Type="http://schemas.openxmlformats.org/officeDocument/2006/relationships/hyperlink" Target="http://capitol.texas.gov/tlodocs/89R/billtext/html/SB00840F.HTM" TargetMode="External" Id="rId26" /><Relationship Type="http://schemas.openxmlformats.org/officeDocument/2006/relationships/hyperlink" Target="http://capitol.texas.gov/tlodocs/89R/billtext/html/SB00840F.HTM" TargetMode="External" Id="rId27" /><Relationship Type="http://schemas.openxmlformats.org/officeDocument/2006/relationships/hyperlink" Target="http://capitol.texas.gov/tlodocs/89R/billtext/html/SB00840F.HTM" TargetMode="External" Id="rId28" /><Relationship Type="http://schemas.openxmlformats.org/officeDocument/2006/relationships/hyperlink" Target="http://capitol.texas.gov/tlodocs/89R/billtext/html/SB00840F.HTM" TargetMode="External" Id="rId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