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LOCAL GOVERNMENT CODE</w:t>
      </w:r>
    </w:p>
    <w:p w:rsidR="003F3435" w:rsidRDefault="0032493E">
      <w:pPr>
        <w:spacing w:line="480" w:lineRule="auto"/>
        <w:jc w:val="center"/>
      </w:pPr>
      <w:r>
        <w:t xml:space="preserve">TITLE 7. REGULATION OF LAND USE, STRUCTURES, BUSINESSES, AND RELATED ACTIVITIES</w:t>
      </w:r>
    </w:p>
    <w:p w:rsidR="003F3435" w:rsidRDefault="0032493E">
      <w:pPr>
        <w:spacing w:line="480" w:lineRule="auto"/>
        <w:jc w:val="center"/>
      </w:pPr>
      <w:r>
        <w:t xml:space="preserve">SUBTITLE C. REGULATORY AUTHORITY APPLYING TO MORE THAN ONE TYPE OF LOCAL GOVERNMENT</w:t>
      </w:r>
    </w:p>
    <w:p w:rsidR="003F3435" w:rsidRDefault="0032493E">
      <w:pPr>
        <w:spacing w:line="480" w:lineRule="auto"/>
        <w:jc w:val="center"/>
      </w:pPr>
      <w:r>
        <w:t xml:space="preserve">Chapter 247, consisting of Secs. 247.001 to 247.006, was added by Acts 2023, 88th Leg., R.S., Ch. 654 (H.B. </w:t>
      </w:r>
      <w:hyperlink w:docLocation="table" r:id="rId14">
        <w:r>
          <w:rPr>
            <w:rStyle w:val="Hyperlink"/>
          </w:rPr>
          <w:t>14</w:t>
        </w:r>
      </w:hyperlink>
      <w:r>
        <w:t xml:space="preserve">), Sec. 1.</w:t>
      </w:r>
    </w:p>
    <w:p w:rsidR="003F3435" w:rsidRDefault="0032493E">
      <w:pPr>
        <w:spacing w:line="480" w:lineRule="auto"/>
        <w:jc w:val="center"/>
      </w:pPr>
      <w:r>
        <w:t xml:space="preserve">For another Chapter 247, consisting of Secs. 247.001 to 247.003, added by Acts 2023, 88th Leg., R.S., Ch. 19 (S.B. </w:t>
      </w:r>
      <w:hyperlink w:docLocation="table" r:id="rId15">
        <w:r>
          <w:rPr>
            <w:rStyle w:val="Hyperlink"/>
          </w:rPr>
          <w:t>1017</w:t>
        </w:r>
      </w:hyperlink>
      <w:r>
        <w:t xml:space="preserve">), Sec. 1, see Sec. 247.001 et seq., post.</w:t>
      </w:r>
    </w:p>
    <w:p w:rsidR="003F3435" w:rsidRDefault="0032493E">
      <w:pPr>
        <w:spacing w:line="480" w:lineRule="auto"/>
        <w:jc w:val="center"/>
      </w:pPr>
      <w:r>
        <w:t xml:space="preserve">CHAPTER 247.  THIRD-PARTY REVIEW OF DEVELOPMENT DOCUMENTS AND INSPECTION OF IMPROVEMENTS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The following section was amended by the 89th Legislature. Pending publication of the current statutes, see H.B. </w:t>
      </w:r>
      <w:hyperlink w:docLocation="table" r:id="rId16">
        <w:r>
          <w:rPr>
            <w:rStyle w:val="Hyperlink"/>
          </w:rPr>
          <w:t>1620</w:t>
        </w:r>
      </w:hyperlink>
      <w:r>
        <w:t xml:space="preserve">, 89th Legislature, Regular Session, for amendments affecting the following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247.001.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"Development document" means a document, including an application for a plat, plan, or development permit, related to the development of or improvement to land that is required by law, ordinance, rule, or other measure to be approved by a regulatory authority in order for a person to initiate, engage in, or complete the development or improvement.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"Development inspection" means the inspection of an improvement to land required by a regulatory authority as part of a project to develop the land or construct or improve an improvement to the land.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"Development permit" means a permit required by a regulatory authority to develop land or construct or improve an improvement to land.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"Plan" has the meaning assigned by Section </w:t>
      </w:r>
      <w:r>
        <w:t xml:space="preserve">212.001</w:t>
      </w:r>
      <w:r>
        <w:t xml:space="preserve">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"Plat" has the meaning assigned by Section </w:t>
      </w:r>
      <w:r>
        <w:t xml:space="preserve">212.001</w:t>
      </w:r>
      <w:r>
        <w:t xml:space="preserve"> except that the term includes a development plat under Subchapter </w:t>
      </w:r>
      <w:r>
        <w:t xml:space="preserve">B</w:t>
      </w:r>
      <w:r>
        <w:t xml:space="preserve">, Chapter </w:t>
      </w:r>
      <w:r>
        <w:t xml:space="preserve">212</w:t>
      </w:r>
      <w:r>
        <w:t xml:space="preserve">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"Regulatory authority" means the governing body of a political subdivision, or a department, board, commission, or other entity of the political subdivision, responsible for processing or approving a development document or conducting a development inspection.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654 (H.B. </w:t>
      </w:r>
      <w:hyperlink w:docLocation="table" r:id="rId17">
        <w:r>
          <w:rPr>
            <w:rStyle w:val="Hyperlink"/>
          </w:rPr>
          <w:t>14</w:t>
        </w:r>
      </w:hyperlink>
      <w:r>
        <w:t xml:space="preserve">), Sec. 1, eff. September 1, 2023.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The following section was amended by the 89th Legislature. Pending publication of the current statutes, see H.B. </w:t>
      </w:r>
      <w:hyperlink w:docLocation="table" r:id="rId18">
        <w:r>
          <w:rPr>
            <w:rStyle w:val="Hyperlink"/>
          </w:rPr>
          <w:t>1620</w:t>
        </w:r>
      </w:hyperlink>
      <w:r>
        <w:t xml:space="preserve">, 89th Legislature, Regular Session, for amendments affecting the following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247.002.</w:t>
      </w:r>
      <w:r xml:space="preserve">
        <w:t> </w:t>
      </w:r>
      <w:r xml:space="preserve">
        <w:t> </w:t>
      </w:r>
      <w:r>
        <w:t xml:space="preserve">THIRD-PARTY REVIEW OR INSPECTION REQUIRED.  (a)</w:t>
      </w:r>
      <w:r xml:space="preserve">
        <w:t> </w:t>
      </w:r>
      <w:r xml:space="preserve">
        <w:t> </w:t>
      </w:r>
      <w:r>
        <w:t xml:space="preserve">If a regulatory authority does not approve, conditionally approve, or disapprove a development document by the 15th day after the date prescribed by a provision of this code for the approval, conditional approval, or disapproval of the document, any required review of the document may be performed by a person: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other than: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applicant;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person whose work is the subject of the application;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who is: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employed by the regulatory authority to review development documents;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employed by another political subdivision to review development documents, if the regulatory authority has approved the person to review development documents;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an engineer licensed under Chapter </w:t>
      </w:r>
      <w:r>
        <w:t xml:space="preserve">1001</w:t>
      </w:r>
      <w:r>
        <w:t xml:space="preserve">, Occupations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If a regulatory authority does not conduct a required development inspection by the 15th day after the date prescribed by a provision of this code for conducting the inspection, the inspection may be conducted by a person: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other than: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owner of the land or improvement to the land that is the subject of the inspection;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 a person whose work is the subject of the inspection;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who is: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 certified to inspect buildings by the International Code Council;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employed by the regulatory authority as a building inspector;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employed by another political subdivision as a building inspector, if the regulatory authority has approved the person to perform inspections;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an engineer licensed under Chapter </w:t>
      </w:r>
      <w:r>
        <w:t xml:space="preserve">1001</w:t>
      </w:r>
      <w:r>
        <w:t xml:space="preserve">, Occupations Code.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654 (H.B. </w:t>
      </w:r>
      <w:hyperlink w:docLocation="table" r:id="rId19">
        <w:r>
          <w:rPr>
            <w:rStyle w:val="Hyperlink"/>
          </w:rPr>
          <w:t>14</w:t>
        </w:r>
      </w:hyperlink>
      <w:r>
        <w:t xml:space="preserve">), Sec. 1, eff. September 1, 2023.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The following section was amended by the 89th Legislature. Pending publication of the current statutes, see H.B. </w:t>
      </w:r>
      <w:hyperlink w:docLocation="table" r:id="rId20">
        <w:r>
          <w:rPr>
            <w:rStyle w:val="Hyperlink"/>
          </w:rPr>
          <w:t>1620</w:t>
        </w:r>
      </w:hyperlink>
      <w:r>
        <w:t xml:space="preserve"> and S.B. </w:t>
      </w:r>
      <w:hyperlink w:docLocation="table" r:id="rId21">
        <w:r>
          <w:rPr>
            <w:rStyle w:val="Hyperlink"/>
          </w:rPr>
          <w:t>1202</w:t>
        </w:r>
      </w:hyperlink>
      <w:r>
        <w:t xml:space="preserve">, 89th Legislature, Regular Session, for amendments affecting the following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247.003.</w:t>
      </w:r>
      <w:r xml:space="preserve">
        <w:t> </w:t>
      </w:r>
      <w:r xml:space="preserve">
        <w:t> </w:t>
      </w:r>
      <w:r>
        <w:t xml:space="preserve">ADDITIONAL FEE PROHIBITED.</w:t>
      </w:r>
      <w:r xml:space="preserve">
        <w:t> </w:t>
      </w:r>
      <w:r xml:space="preserve">
        <w:t> </w:t>
      </w:r>
      <w:r>
        <w:t xml:space="preserve">A regulatory authority may not impose a fee related to the review of a development document or the inspection of an improvement conducted under Section </w:t>
      </w:r>
      <w:r>
        <w:t xml:space="preserve">247.002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654 (H.B. </w:t>
      </w:r>
      <w:hyperlink w:docLocation="table" r:id="rId22">
        <w:r>
          <w:rPr>
            <w:rStyle w:val="Hyperlink"/>
          </w:rPr>
          <w:t>14</w:t>
        </w:r>
      </w:hyperlink>
      <w:r>
        <w:t xml:space="preserve">), Sec. 1, eff. September 1, 2023.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The following section was amended by the 89th Legislature. Pending publication of the current statutes, see S.B. </w:t>
      </w:r>
      <w:hyperlink w:docLocation="table" r:id="rId23">
        <w:r>
          <w:rPr>
            <w:rStyle w:val="Hyperlink"/>
          </w:rPr>
          <w:t>1202</w:t>
        </w:r>
      </w:hyperlink>
      <w:r>
        <w:t xml:space="preserve">, 89th Legislature, Regular Session, for amendments affecting the following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247.004.</w:t>
      </w:r>
      <w:r xml:space="preserve">
        <w:t> </w:t>
      </w:r>
      <w:r xml:space="preserve">
        <w:t> </w:t>
      </w:r>
      <w:r>
        <w:t xml:space="preserve">THIRD-PARTY REQUIREMENTS.  (a)</w:t>
      </w:r>
      <w:r xml:space="preserve">
        <w:t> </w:t>
      </w:r>
      <w:r xml:space="preserve">
        <w:t> </w:t>
      </w:r>
      <w:r>
        <w:t xml:space="preserve">A person who reviews a development document or conducts a development inspection under Section </w:t>
      </w:r>
      <w:r>
        <w:t xml:space="preserve">247.002</w:t>
      </w:r>
      <w:r>
        <w:t xml:space="preserve">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review the document, conduct the inspection, and take all other related actions in accordance with all applicable provisions of law;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not later than the 15th day after the date the person completes the review or inspection, provide notice to the regulatory authority of the results of the review or inspection.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regulatory authority may prescribe a reasonable format for the notice required under Subsection (a).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654 (H.B. </w:t>
      </w:r>
      <w:hyperlink w:docLocation="table" r:id="rId24">
        <w:r>
          <w:rPr>
            <w:rStyle w:val="Hyperlink"/>
          </w:rPr>
          <w:t>14</w:t>
        </w:r>
      </w:hyperlink>
      <w:r>
        <w:t xml:space="preserve">), Sec. 1, eff. September 1, 2023.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247.005.</w:t>
      </w:r>
      <w:r xml:space="preserve">
        <w:t> </w:t>
      </w:r>
      <w:r xml:space="preserve">
        <w:t> </w:t>
      </w:r>
      <w:r>
        <w:t xml:space="preserve">WAIVER PROHIBITED.</w:t>
      </w:r>
      <w:r xml:space="preserve">
        <w:t> </w:t>
      </w:r>
      <w:r xml:space="preserve">
        <w:t> </w:t>
      </w:r>
      <w:r>
        <w:t xml:space="preserve">A regulatory authority may not request or require an applicant to waive a deadline or other procedure under this chapter.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654 (H.B. </w:t>
      </w:r>
      <w:hyperlink w:docLocation="table" r:id="rId25">
        <w:r>
          <w:rPr>
            <w:rStyle w:val="Hyperlink"/>
          </w:rPr>
          <w:t>14</w:t>
        </w:r>
      </w:hyperlink>
      <w:r>
        <w:t xml:space="preserve">), Sec. 1, eff. September 1, 2023.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247.006.</w:t>
      </w:r>
      <w:r xml:space="preserve">
        <w:t> </w:t>
      </w:r>
      <w:r xml:space="preserve">
        <w:t> </w:t>
      </w:r>
      <w:r>
        <w:t xml:space="preserve">APPEAL.  (a)</w:t>
      </w:r>
      <w:r xml:space="preserve">
        <w:t> </w:t>
      </w:r>
      <w:r xml:space="preserve">
        <w:t> </w:t>
      </w:r>
      <w:r>
        <w:t xml:space="preserve">A person may appeal to the governing body of a political subdivision: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decision to conditionally approve or disapprove a development document made by the regulatory authority for the political subdivision or a person authorized by Section </w:t>
      </w:r>
      <w:r>
        <w:t xml:space="preserve">247.002</w:t>
      </w:r>
      <w:r>
        <w:t xml:space="preserve">(a) to perform the review of the document;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decision regarding a development inspection conducted by the regulatory authority or a person authorized by Section </w:t>
      </w:r>
      <w:r>
        <w:t xml:space="preserve">247.002</w:t>
      </w:r>
      <w:r>
        <w:t xml:space="preserve">(b) to perform the inspection.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person must file an appeal under this section not later than the 15th day after the date the decision being appealed is made. 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If the governing body hearing the appeal does not affirm the decision being appealed by a majority vote on or before the 60th day after the date the appeal is filed: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development document that is the subject of the appeal is considered approved;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development inspection that is the subject of the appeal is waived.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654 (H.B. </w:t>
      </w:r>
      <w:hyperlink w:docLocation="table" r:id="rId26">
        <w:r>
          <w:rPr>
            <w:rStyle w:val="Hyperlink"/>
          </w:rPr>
          <w:t>14</w:t>
        </w:r>
      </w:hyperlink>
      <w:r>
        <w:t xml:space="preserve">), Sec. 1, eff.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8R/billtext/html/HB00014F.HTM" TargetMode="External" Id="rId14" /><Relationship Type="http://schemas.openxmlformats.org/officeDocument/2006/relationships/hyperlink" Target="http://capitol.texas.gov/tlodocs/88R/billtext/html/SB01017F.HTM" TargetMode="External" Id="rId15" /><Relationship Type="http://schemas.openxmlformats.org/officeDocument/2006/relationships/hyperlink" Target="http://capitol.texas.gov/tlodocs/89R/billtext/html/HB01620F.HTM" TargetMode="External" Id="rId16" /><Relationship Type="http://schemas.openxmlformats.org/officeDocument/2006/relationships/hyperlink" Target="http://capitol.texas.gov/tlodocs/88R/billtext/html/HB00014F.HTM" TargetMode="External" Id="rId17" /><Relationship Type="http://schemas.openxmlformats.org/officeDocument/2006/relationships/hyperlink" Target="http://capitol.texas.gov/tlodocs/89R/billtext/html/HB01620F.HTM" TargetMode="External" Id="rId18" /><Relationship Type="http://schemas.openxmlformats.org/officeDocument/2006/relationships/hyperlink" Target="http://capitol.texas.gov/tlodocs/88R/billtext/html/HB00014F.HTM" TargetMode="External" Id="rId19" /><Relationship Type="http://schemas.openxmlformats.org/officeDocument/2006/relationships/hyperlink" Target="http://capitol.texas.gov/tlodocs/89R/billtext/html/HB01620F.HTM" TargetMode="External" Id="rId20" /><Relationship Type="http://schemas.openxmlformats.org/officeDocument/2006/relationships/hyperlink" Target="http://capitol.texas.gov/tlodocs/89R/billtext/html/SB01202F.HTM" TargetMode="External" Id="rId21" /><Relationship Type="http://schemas.openxmlformats.org/officeDocument/2006/relationships/hyperlink" Target="http://capitol.texas.gov/tlodocs/88R/billtext/html/HB00014F.HTM" TargetMode="External" Id="rId22" /><Relationship Type="http://schemas.openxmlformats.org/officeDocument/2006/relationships/hyperlink" Target="http://capitol.texas.gov/tlodocs/89R/billtext/html/SB01202F.HTM" TargetMode="External" Id="rId23" /><Relationship Type="http://schemas.openxmlformats.org/officeDocument/2006/relationships/hyperlink" Target="http://capitol.texas.gov/tlodocs/88R/billtext/html/HB00014F.HTM" TargetMode="External" Id="rId24" /><Relationship Type="http://schemas.openxmlformats.org/officeDocument/2006/relationships/hyperlink" Target="http://capitol.texas.gov/tlodocs/88R/billtext/html/HB00014F.HTM" TargetMode="External" Id="rId25" /><Relationship Type="http://schemas.openxmlformats.org/officeDocument/2006/relationships/hyperlink" Target="http://capitol.texas.gov/tlodocs/88R/billtext/html/HB00014F.HTM" TargetMode="External" Id="rId2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