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10. PARKS AND OTHER RECREATIONAL AND CULTURAL RESOURCES</w:t>
      </w:r>
    </w:p>
    <w:p w:rsidR="003F3435" w:rsidRDefault="0032493E">
      <w:pPr>
        <w:spacing w:line="480" w:lineRule="auto"/>
        <w:jc w:val="center"/>
      </w:pPr>
      <w:r>
        <w:t xml:space="preserve">SUBTITLE A. MUNICIPAL PARKS AND OTHER RECREATIONAL AND CULTURAL RESOURCES</w:t>
      </w:r>
    </w:p>
    <w:p w:rsidR="003F3435" w:rsidRDefault="0032493E">
      <w:pPr>
        <w:spacing w:line="480" w:lineRule="auto"/>
        <w:jc w:val="center"/>
      </w:pPr>
      <w:r>
        <w:t xml:space="preserve">CHAPTER 309.  ARTS AND ENTERTAINMENT DISTRICTS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309.001.</w:t>
      </w:r>
      <w:r xml:space="preserve">
        <w:t> </w:t>
      </w:r>
      <w:r xml:space="preserve">
        <w:t> </w:t>
      </w:r>
      <w:r>
        <w:t xml:space="preserve">ARTS AND ENTERTAINMENT DISTRICTS.  (a)  A municipality with a population of more than one million may designate a defined area in the municipality as an arts and entertainment district to develop a public and private collaboration that plays a vital role in the cultural life and development of the community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municipality shall develop the area in the district so that it contributes to the public through interpretive, educational, and recreational uses.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municipality may solicit grants and donations for the development of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municipality may provide incentives to persons to develop the area in the district for public purposes.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municipality may provide tax breaks to persons in the district to develop the district for public purposes.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482 (H.B. </w:t>
      </w:r>
      <w:hyperlink w:docLocation="table" r:id="rId14">
        <w:r>
          <w:rPr>
            <w:rStyle w:val="Hyperlink"/>
          </w:rPr>
          <w:t>2514</w:t>
        </w:r>
      </w:hyperlink>
      <w:r>
        <w:t xml:space="preserve">), Sec. 1, eff. June 16,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514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