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LOCAL GOVERNMENT CODE</w:t>
      </w:r>
    </w:p>
    <w:p w:rsidR="003F3435" w:rsidRDefault="0032493E">
      <w:pPr>
        <w:spacing w:line="480" w:lineRule="auto"/>
        <w:jc w:val="center"/>
      </w:pPr>
      <w:r>
        <w:t xml:space="preserve">TITLE 10. PARKS AND OTHER RECREATIONAL AND CULTURAL RESOURCES</w:t>
      </w:r>
    </w:p>
    <w:p w:rsidR="003F3435" w:rsidRDefault="0032493E">
      <w:pPr>
        <w:spacing w:line="480" w:lineRule="auto"/>
        <w:jc w:val="center"/>
      </w:pPr>
      <w:r>
        <w:t xml:space="preserve">SUBTITLE B. COUNTY PARKS AND OTHER RECREATIONAL AND CULTURAL RESOURCES</w:t>
      </w:r>
    </w:p>
    <w:p w:rsidR="003F3435" w:rsidRDefault="0032493E">
      <w:pPr>
        <w:spacing w:line="480" w:lineRule="auto"/>
        <w:jc w:val="center"/>
      </w:pPr>
      <w:r>
        <w:t xml:space="preserve">CHAPTER 330.  MISCELLANEOUS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330.001.</w:t>
      </w:r>
      <w:r xml:space="preserve">
        <w:t> </w:t>
      </w:r>
      <w:r xml:space="preserve">
        <w:t> </w:t>
      </w:r>
      <w:r>
        <w:t xml:space="preserve">OPERATION AND FINANCING OF COUNTY MUSEUMS.  (a)  This section applies only to a county that has substantial urban areas and borders on an international boundary.</w:t>
      </w:r>
      <w:r xml:space="preserve">
        <w:t> </w:t>
      </w:r>
      <w:r xml:space="preserve">
        <w:t> </w:t>
      </w:r>
      <w:r>
        <w:t xml:space="preserve">For the purposes of this subsection, a county has substantial urban areas only if at least four municipalities, each with a population of more than 25,000, are located in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may construct or operate a museum in the county to display, construct, restore, preserve, maintain, or reconstruct buildings, works of art, and related furnishings for exhibitions.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county may contract with an entity operating a museum in the county to provide the museum described by Subsection (b).</w:t>
      </w:r>
      <w:r xml:space="preserve">
        <w:t> </w:t>
      </w:r>
      <w:r xml:space="preserve">
        <w:t> </w:t>
      </w:r>
      <w:r>
        <w:t xml:space="preserve">To be eligible to enter into the contract, the entity must be: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organized under the Texas Non-Profit Corporation Act (Article 1396-1.01 et seq., Vernon's Texas Civil Statutes);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accredited by a nationally recognized association of museums acceptable to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As part of the contract, the commissioners court may appropriate money from the general fund of the county to the museum to purchase, display, construct, restore, preserve, maintain, operate, or reconstruct a building, work of art, or related furnishings used by the museum to further its exhibitions or operations and to promote county purposes under this chapter.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738 (H.B. </w:t>
      </w:r>
      <w:hyperlink w:docLocation="table" r:id="rId14">
        <w:r>
          <w:rPr>
            <w:rStyle w:val="Hyperlink"/>
          </w:rPr>
          <w:t>2796</w:t>
        </w:r>
      </w:hyperlink>
      <w:r>
        <w:t xml:space="preserve">), Sec. 1, eff. June 15,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HB02796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