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11. PUBLIC SAFETY</w:t>
      </w:r>
    </w:p>
    <w:p w:rsidR="003F3435" w:rsidRDefault="0032493E">
      <w:pPr>
        <w:spacing w:line="480" w:lineRule="auto"/>
        <w:jc w:val="center"/>
      </w:pPr>
      <w:r>
        <w:t xml:space="preserve">SUBTITLE C. PUBLIC SAFETY PROVISIONS APPLYING TO MORE THAN ONE TYPE OF LOCAL GOVERNMENT</w:t>
      </w:r>
    </w:p>
    <w:p w:rsidR="003F3435" w:rsidRDefault="0032493E">
      <w:pPr>
        <w:spacing w:line="480" w:lineRule="auto"/>
        <w:jc w:val="center"/>
      </w:pPr>
      <w:r>
        <w:t xml:space="preserve">CHAPTER 364. ENFORCEMENT OF PUBLIC CAMPING BANS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"Local entity"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governing body of a municipality or county;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officer or employee of or a division, department, or other body that is part of a municipality or county, including a sheriff, municipal police department, municipal attorney, or county attorney;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district attorney or criminal district attorney.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"Policy" includes a formal, written rule, ordinance, order, or policy and an informal, unwritten policy.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"Public camping ban" means a law, rule, ordinance, order, or other regulation that prohibits camping in a public place, including Section </w:t>
      </w:r>
      <w:r>
        <w:t xml:space="preserve">48.05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677 (H.B. </w:t>
      </w:r>
      <w:hyperlink w:docLocation="table" r:id="rId14">
        <w:r>
          <w:rPr>
            <w:rStyle w:val="Hyperlink"/>
          </w:rPr>
          <w:t>1925</w:t>
        </w:r>
      </w:hyperlink>
      <w:r>
        <w:t xml:space="preserve">), Sec. 3,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364.002.</w:t>
      </w:r>
      <w:r xml:space="preserve">
        <w:t> </w:t>
      </w:r>
      <w:r xml:space="preserve">
        <w:t> </w:t>
      </w:r>
      <w:r>
        <w:t xml:space="preserve">POLICY ON CAMPING BANS.  (a)</w:t>
      </w:r>
      <w:r xml:space="preserve">
        <w:t> </w:t>
      </w:r>
      <w:r xml:space="preserve">
        <w:t> </w:t>
      </w:r>
      <w:r>
        <w:t xml:space="preserve">A local entity may not adopt or enforce a policy under which the entity prohibits or discourages the enforcement of any public camping ban.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compliance with Subsection (a), a local entity may not prohibit or discourage a peace officer or prosecuting attorney who is employed by or otherwise under the direction or control of the entity from enforcing a public camping ban.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prohibit a policy that encourages diversion or a provision of services in lieu of citation or arrest.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677 (H.B. </w:t>
      </w:r>
      <w:hyperlink w:docLocation="table" r:id="rId15">
        <w:r>
          <w:rPr>
            <w:rStyle w:val="Hyperlink"/>
          </w:rPr>
          <w:t>1925</w:t>
        </w:r>
      </w:hyperlink>
      <w:r>
        <w:t xml:space="preserve">), Sec. 3,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364.003.</w:t>
      </w:r>
      <w:r xml:space="preserve">
        <w:t> </w:t>
      </w:r>
      <w:r xml:space="preserve">
        <w:t> </w:t>
      </w:r>
      <w:r>
        <w:t xml:space="preserve">INJUNCTIVE RELIEF.  (a)</w:t>
      </w:r>
      <w:r xml:space="preserve">
        <w:t> </w:t>
      </w:r>
      <w:r xml:space="preserve">
        <w:t> </w:t>
      </w:r>
      <w:r>
        <w:t xml:space="preserve">The attorney general may bring an action in a district court in Travis County or in a county in which the principal office of the entity is located to enjoin a violation of Section </w:t>
      </w:r>
      <w:r>
        <w:t xml:space="preserve">364.002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may recover reasonable expenses incurred in obtaining relief under this section, including court costs, reasonable attorney's fees, investigative costs, witness fees, and deposition costs.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677 (H.B. </w:t>
      </w:r>
      <w:hyperlink w:docLocation="table" r:id="rId16">
        <w:r>
          <w:rPr>
            <w:rStyle w:val="Hyperlink"/>
          </w:rPr>
          <w:t>1925</w:t>
        </w:r>
      </w:hyperlink>
      <w:r>
        <w:t xml:space="preserve">), Sec. 3,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364.004.</w:t>
      </w:r>
      <w:r xml:space="preserve">
        <w:t> </w:t>
      </w:r>
      <w:r xml:space="preserve">
        <w:t> </w:t>
      </w:r>
      <w:r>
        <w:t xml:space="preserve">DENIAL OF STATE GRANT FUNDS.  (a)</w:t>
      </w:r>
      <w:r xml:space="preserve">
        <w:t> </w:t>
      </w:r>
      <w:r xml:space="preserve">
        <w:t> </w:t>
      </w:r>
      <w:r>
        <w:t xml:space="preserve">A local entity may not receive state grant funds, and state grant funds for the local entity shall be denied, for the state fiscal year following the year in which a final judicial determination in an action brought under Section </w:t>
      </w:r>
      <w:r>
        <w:t xml:space="preserve">364.003</w:t>
      </w:r>
      <w:r>
        <w:t xml:space="preserve"> is made that the entity has intentionally violated Section </w:t>
      </w:r>
      <w:r>
        <w:t xml:space="preserve">364.002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comptroller shall adopt rules to implement this section uniformly among the state agencies from which state grant funds are distributed to a municipality or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local entity that has not violated Section </w:t>
      </w:r>
      <w:r>
        <w:t xml:space="preserve">364.002</w:t>
      </w:r>
      <w:r>
        <w:t xml:space="preserve"> may not be denied state grant funds, regardless of whether the entity is a part of another entity that is in violation of that section.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677 (H.B. </w:t>
      </w:r>
      <w:hyperlink w:docLocation="table" r:id="rId17">
        <w:r>
          <w:rPr>
            <w:rStyle w:val="Hyperlink"/>
          </w:rPr>
          <w:t>1925</w:t>
        </w:r>
      </w:hyperlink>
      <w:r>
        <w:t xml:space="preserve">), Sec. 3,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1925F.HTM" TargetMode="External" Id="rId14" /><Relationship Type="http://schemas.openxmlformats.org/officeDocument/2006/relationships/hyperlink" Target="http://capitol.texas.gov/tlodocs/87R/billtext/html/HB01925F.HTM" TargetMode="External" Id="rId15" /><Relationship Type="http://schemas.openxmlformats.org/officeDocument/2006/relationships/hyperlink" Target="http://capitol.texas.gov/tlodocs/87R/billtext/html/HB01925F.HTM" TargetMode="External" Id="rId16" /><Relationship Type="http://schemas.openxmlformats.org/officeDocument/2006/relationships/hyperlink" Target="http://capitol.texas.gov/tlodocs/87R/billtext/html/HB01925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