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2. ORGANIZATION OF MUNICIPAL GOVERNMENT</w:t>
      </w:r>
    </w:p>
    <w:p w:rsidR="003F3435" w:rsidRDefault="0032493E">
      <w:pPr>
        <w:spacing w:line="480" w:lineRule="auto"/>
        <w:jc w:val="center"/>
      </w:pPr>
      <w:r>
        <w:t xml:space="preserve">SUBTITLE A. TYPES OF MUNICIPALITIES</w:t>
      </w:r>
    </w:p>
    <w:p w:rsidR="003F3435" w:rsidRDefault="0032493E">
      <w:pPr>
        <w:spacing w:line="480" w:lineRule="auto"/>
        <w:jc w:val="center"/>
      </w:pPr>
      <w:r>
        <w:t xml:space="preserve">CHAPTER 6. TYPE A GENERAL-LAW MUNICIPALITY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INCORPORATION AS TYPE A GENERAL-LAW MUNICIPALITY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6.001.</w:t>
      </w:r>
      <w:r xml:space="preserve">
        <w:t> </w:t>
      </w:r>
      <w:r xml:space="preserve">
        <w:t> </w:t>
      </w:r>
      <w:r>
        <w:t xml:space="preserve">AUTHORITY TO INCORPORATE AS TYPE A GENERAL-LAW MUNICIPALITY.  A community may incorporate under this subchapter as a Type A general-law municipality if it: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constitutes an unincorporated city or town;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contains 600 or more inhabitants;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meets the territorial requirements prescribed by Section </w:t>
      </w:r>
      <w:r>
        <w:t xml:space="preserve">5.901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6.002.</w:t>
      </w:r>
      <w:r xml:space="preserve">
        <w:t> </w:t>
      </w:r>
      <w:r xml:space="preserve">
        <w:t> </w:t>
      </w:r>
      <w:r>
        <w:t xml:space="preserve">INCORPORATION PROCEDURE.  The procedure for incorporating as a Type A general-law municipality is the same as that prescribed for incorporating as a Type B general-law municipality.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  Amended by Acts 1999, 76th Leg., ch. 62, Sec. 13.01,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6.003.</w:t>
      </w:r>
      <w:r xml:space="preserve">
        <w:t> </w:t>
      </w:r>
      <w:r xml:space="preserve">
        <w:t> </w:t>
      </w:r>
      <w:r>
        <w:t xml:space="preserve">EFFECTIVE DATE OF INCORPORATION.  The incorporation of the community as a municipality is effective on the date the county judge makes the entry, under Section </w:t>
      </w:r>
      <w:r>
        <w:t xml:space="preserve">7.007</w:t>
      </w:r>
      <w:r>
        <w:t xml:space="preserve">, in the records of the commissioners court.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CHANGE FROM ANOTHER MUNICIPAL TYPE TO TYPE A GENERAL-LAW MUNICIPALITY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6.011.</w:t>
      </w:r>
      <w:r xml:space="preserve">
        <w:t> </w:t>
      </w:r>
      <w:r xml:space="preserve">
        <w:t> </w:t>
      </w:r>
      <w:r>
        <w:t xml:space="preserve">AUTHORITY TO CHANGE TO TYPE A GENERAL-LAW MUNICIPALITY.  (a)  A municipality incorporated in any manner other than as a Type A general-law municipality may change to a Type A general-law municipality if the municipality: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has 600 or more inhabitants;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contains one or more manufacturing establishments within its corporate limits;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is incorporated under any law of the Republic of Texas.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municipality that makes the change shall operate under the law applying to a Type A general-law municipality instead of operating under any charter or law that previously governed the municipality.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6.012.</w:t>
      </w:r>
      <w:r xml:space="preserve">
        <w:t> </w:t>
      </w:r>
      <w:r xml:space="preserve">
        <w:t> </w:t>
      </w:r>
      <w:r>
        <w:t xml:space="preserve">PROCEDURE FOR CHANGE.  If a municipality wishes to change to a Type A general-law municipality: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at least two-thirds of the governing body of the municipality at a regular meeting must vote to make the change and the vote must be recorded in the journal of the governing body's proceedings;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copy of the record of the proceedings must be signed by the mayor;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copy of the record of the proceedings must be attested by the municipality's clerk or secretary under the corporate seal;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copy of the record of the proceedings must be filed and recorded in the office of the county clerk of the county in which the municipality is located.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6.013.</w:t>
      </w:r>
      <w:r xml:space="preserve">
        <w:t> </w:t>
      </w:r>
      <w:r xml:space="preserve">
        <w:t> </w:t>
      </w:r>
      <w:r>
        <w:t xml:space="preserve">REPEAL OF LOCAL LAW AFTER CHANGE.  Any local law that incorporated a municipality that changes to a Type A general-law municipality under this subchapter is repealed on the date on which the copy of the record of the proceedings is filed.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6.014.</w:t>
      </w:r>
      <w:r xml:space="preserve">
        <w:t> </w:t>
      </w:r>
      <w:r xml:space="preserve">
        <w:t> </w:t>
      </w:r>
      <w:r>
        <w:t xml:space="preserve">CHANGE DOES NOT AFFECT PRIOR NAME OR STATUS AS BODY CORPORATE.  A municipality that changes to a Type A general-law municipality retains the prior name by which it was known and continues to be a body corporate with perpetual succession.</w:t>
      </w:r>
    </w:p>
    <w:p w:rsidR="003F3435" w:rsidRDefault="0032493E">
      <w:pPr>
        <w:spacing w:line="480" w:lineRule="auto"/>
        <w:jc w:val="both"/>
      </w:pPr>
      <w:r>
        <w:t xml:space="preserve">Acts 1987, 70th Leg., ch. 149, Sec. 1, eff. Sept. 1, 1987.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