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PROPERTY CODE</w:t>
      </w:r>
    </w:p>
    <w:p w:rsidR="003F3435" w:rsidRDefault="0032493E">
      <w:pPr>
        <w:spacing w:line="480" w:lineRule="auto"/>
        <w:jc w:val="center"/>
      </w:pPr>
      <w:r>
        <w:t xml:space="preserve">TITLE 1. GENERAL PROVISIONS</w:t>
      </w:r>
    </w:p>
    <w:p w:rsidR="003F3435" w:rsidRDefault="0032493E">
      <w:pPr>
        <w:spacing w:line="480" w:lineRule="auto"/>
        <w:jc w:val="center"/>
      </w:pPr>
      <w:r>
        <w:t xml:space="preserve">CHAPTER 2. NATURE OF PROPERTY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2.001.</w:t>
      </w:r>
      <w:r xml:space="preserve">
        <w:t> </w:t>
      </w:r>
      <w:r xml:space="preserve">
        <w:t> </w:t>
      </w:r>
      <w:r>
        <w:t xml:space="preserve">MANUFACTURED HOUSING.  (a)  Except as provided by Subsection (b), a manufactured home is personal property.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manufactured home is real property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statement of ownership and location for the home issued under Section </w:t>
      </w:r>
      <w:r>
        <w:t xml:space="preserve">1201.207</w:t>
      </w:r>
      <w:r>
        <w:t xml:space="preserve">, Occupations Code, reflects that the owner has elected to treat the home as real property;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certified copy of the statement of ownership and location has been filed in the real property records in the county in which the home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In this section, "consumer," "document of title," "first retail sale," "manufactured home," and "mobile home" have the meanings assigned by Chapter </w:t>
      </w:r>
      <w:r>
        <w:t xml:space="preserve">1201</w:t>
      </w:r>
      <w:r>
        <w:t xml:space="preserve">, Occupations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to (h) Repealed by Acts 2003, 78th Leg., ch. 338, Sec. 52(2).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This section does not require a retailer or retailer's agent to obtain a license under Chapter </w:t>
      </w:r>
      <w:r>
        <w:t xml:space="preserve">1101</w:t>
      </w:r>
      <w:r>
        <w:t xml:space="preserve">, Occupations Code.</w:t>
      </w:r>
    </w:p>
    <w:p w:rsidR="003F3435" w:rsidRDefault="0032493E">
      <w:pPr>
        <w:spacing w:line="480" w:lineRule="auto"/>
        <w:jc w:val="both"/>
      </w:pPr>
      <w:r>
        <w:t xml:space="preserve">Added by Acts 1995, 74th Leg., ch. 978, Sec. 15, eff. Sept. 1, 1995.  Amended by Acts 2001, 77th Leg., ch. 899, Sec. 5, eff. Sept. 1, 2001;  Acts 2001, 77th Leg., ch. 1055, Sec. 5, eff. Jan. 1, 2002;  Acts 2003, 78th Leg., ch. 338, Sec. 41 to 43, 52(2), eff. June 18, 2003;  Acts 2003, 78th Leg., ch. 1276, Sec. 14A.802,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2.002.</w:t>
      </w:r>
      <w:r xml:space="preserve">
        <w:t> </w:t>
      </w:r>
      <w:r xml:space="preserve">
        <w:t> </w:t>
      </w:r>
      <w:r>
        <w:t xml:space="preserve">DRY FIRE HYDRANTS:  AGREEMENT IS PERSONAL.  (a)  An agreement between an owner, lessee, or occupant of real property and a fire-fighting agency relating to the connection of a dry fire hydrant to a source of water on the property or the installation of a dry fire hydrant on the property may not bind a subsequent owner, lessee, or occupant of the real property.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"Dry fire hydrant" means a fire hydrant that is connected to a stock tank, pond, or other similar source of water from which water is pumped in case of fire.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"Fire-fighting agency" means any entity that provides fire-fighting services,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volunteer fire department;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political subdivision of this state authorized to provide fire-fighting services.</w:t>
      </w:r>
    </w:p>
    <w:p w:rsidR="003F3435" w:rsidRDefault="0032493E">
      <w:pPr>
        <w:spacing w:line="480" w:lineRule="auto"/>
        <w:jc w:val="both"/>
      </w:pPr>
      <w:r>
        <w:t xml:space="preserve">Added by Acts 1997, 75th Leg., ch. 437, Sec. 2, eff. Sept. 1, 1997.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