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PROPERTY CODE</w:t>
      </w:r>
    </w:p>
    <w:p w:rsidR="003F3435" w:rsidRDefault="0032493E">
      <w:pPr>
        <w:spacing w:line="480" w:lineRule="auto"/>
        <w:jc w:val="center"/>
      </w:pPr>
      <w:r>
        <w:t xml:space="preserve">TITLE 12. MISCELLANEOUS SHARED REAL PROPERTY INTERESTS</w:t>
      </w:r>
    </w:p>
    <w:p w:rsidR="003F3435" w:rsidRDefault="0032493E">
      <w:pPr>
        <w:spacing w:line="480" w:lineRule="auto"/>
        <w:jc w:val="center"/>
      </w:pPr>
      <w:r>
        <w:t xml:space="preserve">CHAPTER 223.  BUSINESS ENTITY-OWNED RESIDENTIAL ARRANGEMENTS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"Business entity" means a partnership, corporation, joint venture, limited liability company, or other business organization or business association, however organized.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"Managing entity" means a business entity that owns residential property used in a residential arrangement.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"Residential arrangement" means an arrangement in which the purchaser of an interest in a business entity is entitled to exclusive possession of residential property owned by the entity as long as the purchaser holds the interest in the business entity.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"Residential property" means the real property and improvements for a single-family house, duplex, triplex, or quadruplex.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14">
        <w:r>
          <w:rPr>
            <w:rStyle w:val="Hyperlink"/>
          </w:rPr>
          <w:t>4211</w:t>
        </w:r>
      </w:hyperlink>
      <w:r>
        <w:t xml:space="preserve">), Sec. 1, eff. June 20,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223.002.</w:t>
      </w:r>
      <w:r xml:space="preserve">
        <w:t> </w:t>
      </w:r>
      <w:r xml:space="preserve">
        <w:t> </w:t>
      </w:r>
      <w:r>
        <w:t xml:space="preserve">APPLICABILITY.</w:t>
      </w:r>
      <w:r xml:space="preserve">
        <w:t> </w:t>
      </w:r>
      <w:r xml:space="preserve">
        <w:t> </w:t>
      </w:r>
      <w:r>
        <w:t xml:space="preserve">This chapter does not apply to a timeshare plan, as defined by Section </w:t>
      </w:r>
      <w:r>
        <w:t xml:space="preserve">221.002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15">
        <w:r>
          <w:rPr>
            <w:rStyle w:val="Hyperlink"/>
          </w:rPr>
          <w:t>4211</w:t>
        </w:r>
      </w:hyperlink>
      <w:r>
        <w:t xml:space="preserve">), Sec. 1, eff. June 20,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223.003.</w:t>
      </w:r>
      <w:r xml:space="preserve">
        <w:t> </w:t>
      </w:r>
      <w:r xml:space="preserve">
        <w:t> </w:t>
      </w:r>
      <w:r>
        <w:t xml:space="preserve">AGREEMENTS AND RULES.  (a)</w:t>
      </w:r>
      <w:r xml:space="preserve">
        <w:t> </w:t>
      </w:r>
      <w:r xml:space="preserve">
        <w:t> </w:t>
      </w:r>
      <w:r>
        <w:t xml:space="preserve">An agreement for the purchase of an interest in a managing entity must disclose to the purchaser that the agreement is for the purchase of an interest in the entity and not in any residential property itself.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purchase agreement and any other agreement or rules governing the residential arrangement or the ownership interest in the entity may not require that a dispute concerning the arrangement or interest be brought before a tribunal other than a court established under the laws of this state or the United States.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16">
        <w:r>
          <w:rPr>
            <w:rStyle w:val="Hyperlink"/>
          </w:rPr>
          <w:t>4211</w:t>
        </w:r>
      </w:hyperlink>
      <w:r>
        <w:t xml:space="preserve">), Sec. 1, eff. June 20,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223.004.</w:t>
      </w:r>
      <w:r xml:space="preserve">
        <w:t> </w:t>
      </w:r>
      <w:r xml:space="preserve">
        <w:t> </w:t>
      </w:r>
      <w:r>
        <w:t xml:space="preserve">DISCRIMINATION PROHIBITED.</w:t>
      </w:r>
      <w:r xml:space="preserve">
        <w:t> </w:t>
      </w:r>
      <w:r xml:space="preserve">
        <w:t> </w:t>
      </w:r>
      <w:r>
        <w:t xml:space="preserve">A managing entity may not take an action with respect to an interest in the entity in a manner that would be a violation of Chapter </w:t>
      </w:r>
      <w:r>
        <w:t xml:space="preserve">301</w:t>
      </w:r>
      <w:r>
        <w:t xml:space="preserve"> if the interest in the entity were an interest in real property,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restricting the transfer of the interest;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imposing requirements to maintain the interest;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refusing to grant an interest to an otherwise qualified person.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17">
        <w:r>
          <w:rPr>
            <w:rStyle w:val="Hyperlink"/>
          </w:rPr>
          <w:t>4211</w:t>
        </w:r>
      </w:hyperlink>
      <w:r>
        <w:t xml:space="preserve">), Sec. 1, eff. June 20,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223.005.</w:t>
      </w:r>
      <w:r xml:space="preserve">
        <w:t> </w:t>
      </w:r>
      <w:r xml:space="preserve">
        <w:t> </w:t>
      </w:r>
      <w:r>
        <w:t xml:space="preserve">TRANSFER OF INTEREST.</w:t>
      </w:r>
      <w:r xml:space="preserve">
        <w:t> </w:t>
      </w:r>
      <w:r xml:space="preserve">
        <w:t> </w:t>
      </w:r>
      <w:r>
        <w:t xml:space="preserve">Notwithstanding any provision in an agreement between the owner and a managing entity, an owner of an interest in a managing entity may transfer the interest without approval from the managing entity.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18">
        <w:r>
          <w:rPr>
            <w:rStyle w:val="Hyperlink"/>
          </w:rPr>
          <w:t>4211</w:t>
        </w:r>
      </w:hyperlink>
      <w:r>
        <w:t xml:space="preserve">), Sec. 1, eff. June 20,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223.006.</w:t>
      </w:r>
      <w:r xml:space="preserve">
        <w:t> </w:t>
      </w:r>
      <w:r xml:space="preserve">
        <w:t> </w:t>
      </w:r>
      <w:r>
        <w:t xml:space="preserve">CERTAIN CHARGES PROHIBITED.</w:t>
      </w:r>
      <w:r xml:space="preserve">
        <w:t> </w:t>
      </w:r>
      <w:r xml:space="preserve">
        <w:t> </w:t>
      </w:r>
      <w:r>
        <w:t xml:space="preserve">A managing entity may not charge a fee for or share in the proceeds of the transfer of an interest in the managing entity from an owner to a subsequent purchaser.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19">
        <w:r>
          <w:rPr>
            <w:rStyle w:val="Hyperlink"/>
          </w:rPr>
          <w:t>4211</w:t>
        </w:r>
      </w:hyperlink>
      <w:r>
        <w:t xml:space="preserve">), Sec. 1, eff. June 20,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223.007.</w:t>
      </w:r>
      <w:r xml:space="preserve">
        <w:t> </w:t>
      </w:r>
      <w:r xml:space="preserve">
        <w:t> </w:t>
      </w:r>
      <w:r>
        <w:t xml:space="preserve">ENFORCEMENT.  (a)</w:t>
      </w:r>
      <w:r xml:space="preserve">
        <w:t> </w:t>
      </w:r>
      <w:r xml:space="preserve">
        <w:t> </w:t>
      </w:r>
      <w:r>
        <w:t xml:space="preserve">A violation of this chapter is a deceptive trade practice actionable under Subchapter </w:t>
      </w:r>
      <w:r>
        <w:t xml:space="preserve">E</w:t>
      </w:r>
      <w:r>
        <w:t xml:space="preserve">, Chapter </w:t>
      </w:r>
      <w:r>
        <w:t xml:space="preserve">17</w:t>
      </w:r>
      <w:r>
        <w:t xml:space="preserve">, Business &amp; Commerce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court that finds a violation of this chapter may enjoin a managing entity or a person affiliated with the managing entity from taking action in furtherance of development of or construction on residential property used in a residential arrangement subject to an action under this section,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filing a petition with the Texas Commission on Environmental Quality for the creation of a municipal utility district under Chapter </w:t>
      </w:r>
      <w:r>
        <w:t xml:space="preserve">49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taking action in connection with a petition for the creation of a district described by Subdivision (1) filed with the Texas Commission on Environmental Quality before the issuance of the injunction;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receiving, directly or indirectly, any public money or benefit.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1096 (H.B. </w:t>
      </w:r>
      <w:hyperlink w:docLocation="table" r:id="rId20">
        <w:r>
          <w:rPr>
            <w:rStyle w:val="Hyperlink"/>
          </w:rPr>
          <w:t>4211</w:t>
        </w:r>
      </w:hyperlink>
      <w:r>
        <w:t xml:space="preserve">), Sec. 1, eff. June 20,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4211F.HTM" TargetMode="External" Id="rId14" /><Relationship Type="http://schemas.openxmlformats.org/officeDocument/2006/relationships/hyperlink" Target="http://capitol.texas.gov/tlodocs/89R/billtext/html/HB04211F.HTM" TargetMode="External" Id="rId15" /><Relationship Type="http://schemas.openxmlformats.org/officeDocument/2006/relationships/hyperlink" Target="http://capitol.texas.gov/tlodocs/89R/billtext/html/HB04211F.HTM" TargetMode="External" Id="rId16" /><Relationship Type="http://schemas.openxmlformats.org/officeDocument/2006/relationships/hyperlink" Target="http://capitol.texas.gov/tlodocs/89R/billtext/html/HB04211F.HTM" TargetMode="External" Id="rId17" /><Relationship Type="http://schemas.openxmlformats.org/officeDocument/2006/relationships/hyperlink" Target="http://capitol.texas.gov/tlodocs/89R/billtext/html/HB04211F.HTM" TargetMode="External" Id="rId18" /><Relationship Type="http://schemas.openxmlformats.org/officeDocument/2006/relationships/hyperlink" Target="http://capitol.texas.gov/tlodocs/89R/billtext/html/HB04211F.HTM" TargetMode="External" Id="rId19" /><Relationship Type="http://schemas.openxmlformats.org/officeDocument/2006/relationships/hyperlink" Target="http://capitol.texas.gov/tlodocs/89R/billtext/html/HB04211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