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PARKS AND WILDLIFE CODE</w:t>
      </w:r>
    </w:p>
    <w:p w:rsidR="003F3435" w:rsidRDefault="0032493E">
      <w:pPr>
        <w:spacing w:line="480" w:lineRule="auto"/>
        <w:jc w:val="center"/>
      </w:pPr>
      <w:r>
        <w:t xml:space="preserve">TITLE 6. COMPACTS</w:t>
      </w:r>
    </w:p>
    <w:p w:rsidR="003F3435" w:rsidRDefault="0032493E">
      <w:pPr>
        <w:spacing w:line="480" w:lineRule="auto"/>
        <w:jc w:val="center"/>
      </w:pPr>
      <w:r>
        <w:t xml:space="preserve">CHAPTER 92.  INTERSTATE WILDLIFE VIOLATOR COMPACT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92.001.</w:t>
      </w:r>
      <w:r xml:space="preserve">
        <w:t> </w:t>
      </w:r>
      <w:r xml:space="preserve">
        <w:t> </w:t>
      </w:r>
      <w:r>
        <w:t xml:space="preserve">MEMBERSHIP IN INTERSTATE WILDLIFE VIOLATOR COMPACT.  (a)  On behalf of this state, the commission may enter into the Interstate Wildlife Violator Compact.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necessary to protect the interests of this state, the commission may withdraw from the Interstate Wildlife Violator Compact in accordance with the terms of the compact.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 may take all actions necessary to implement this chapter, including the adoption of rules and the delegation of authority to the director.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952 (H.B. </w:t>
      </w:r>
      <w:hyperlink w:docLocation="table" r:id="rId14">
        <w:r>
          <w:rPr>
            <w:rStyle w:val="Hyperlink"/>
          </w:rPr>
          <w:t>3391</w:t>
        </w:r>
      </w:hyperlink>
      <w:r>
        <w:t xml:space="preserve">), Sec. 16,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3391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