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the law codified as Section </w:t>
      </w:r>
      <w:r>
        <w:t xml:space="preserve">323.007</w:t>
      </w:r>
      <w:r>
        <w:t xml:space="preserve">,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2003, 78th Leg., ch. 1277, Sec. 1,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Chapter </w:t>
      </w:r>
      <w:r>
        <w:t xml:space="preserve">311</w:t>
      </w:r>
      <w:r>
        <w:t xml:space="preserve">, Government Code (Code Construction Act), applies to the construction of each provision in this code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2003, 78th Leg., ch. 1277, Sec. 1,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REFERENCE IN LAW TO STATUTE REVISED BY CODE.  A reference in a law to a statute or a part of a statute revised by this code is considered to be a reference to the part of this code that revises that statute or part of that statute.</w:t>
      </w:r>
    </w:p>
    <w:p w:rsidR="003F3435" w:rsidRDefault="0032493E">
      <w:pPr>
        <w:spacing w:line="480" w:lineRule="auto"/>
        <w:jc w:val="both"/>
      </w:pPr>
      <w:r>
        <w:t xml:space="preserve">Acts 2003, 78th Leg., ch. 1277, Sec. 1,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1.004.</w:t>
      </w:r>
      <w:r xml:space="preserve">
        <w:t> </w:t>
      </w:r>
      <w:r xml:space="preserve">
        <w:t> </w:t>
      </w:r>
      <w:r>
        <w:t xml:space="preserve">LIMITATION ON EXERCISE OF EMINENT DOMAIN POWER.</w:t>
      </w:r>
      <w:r xml:space="preserve">
        <w:t> </w:t>
      </w:r>
      <w:r xml:space="preserve">
        <w:t> </w:t>
      </w:r>
      <w:r>
        <w:t xml:space="preserve">An entity governed by Title 6 and authorized by law to exercise the power of eminent domain may only exercise the power for a public use in accordance with Section </w:t>
      </w:r>
      <w:r>
        <w:t xml:space="preserve">17</w:t>
      </w:r>
      <w:r>
        <w:t xml:space="preserve">, Article 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92 (S.B. </w:t>
      </w:r>
      <w:hyperlink w:docLocation="table" r:id="rId14">
        <w:r>
          <w:rPr>
            <w:rStyle w:val="Hyperlink"/>
          </w:rPr>
          <w:t>655</w:t>
        </w:r>
      </w:hyperlink>
      <w:r>
        <w:t xml:space="preserve">), Sec. 1, eff. May 18,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1.005.</w:t>
      </w:r>
      <w:r xml:space="preserve">
        <w:t> </w:t>
      </w:r>
      <w:r xml:space="preserve">
        <w:t> </w:t>
      </w:r>
      <w:r>
        <w:t xml:space="preserve">EFFECT OF NONSUBSTANTIVE REVISION ON CERTAIN EMINENT DOMAIN AUTHORITY.</w:t>
      </w:r>
      <w:r xml:space="preserve">
        <w:t> </w:t>
      </w:r>
      <w:r xml:space="preserve">
        <w:t> </w:t>
      </w:r>
      <w:r>
        <w:t xml:space="preserve">The revision by Chapter 112 (S.B. 1026), Acts of the 83rd Legislature, Regular Session, 2013, effective April 1, 2015, of a law regarding eminent domain authority, or any other nonsubstantive revision in this code of a law regarding eminent domain authority, does not affect any expiration of an entity's eminent domain authority that may have occurred under Section </w:t>
      </w:r>
      <w:r>
        <w:t xml:space="preserve">2206.101</w:t>
      </w:r>
      <w:r>
        <w:t xml:space="preserve">, Government Code, on September 1, 2013.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1236 (S.B. </w:t>
      </w:r>
      <w:hyperlink w:docLocation="table" r:id="rId15">
        <w:r>
          <w:rPr>
            <w:rStyle w:val="Hyperlink"/>
          </w:rPr>
          <w:t>1296</w:t>
        </w:r>
      </w:hyperlink>
      <w:r>
        <w:t xml:space="preserve">), Sec. 15.001(a), eff. June 19,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0655F.HTM" TargetMode="External" Id="rId14" /><Relationship Type="http://schemas.openxmlformats.org/officeDocument/2006/relationships/hyperlink" Target="http://capitol.texas.gov/tlodocs/84R/billtext/html/SB01296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