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5. TRANSPORTATION</w:t>
      </w:r>
    </w:p>
    <w:p w:rsidR="003F3435" w:rsidRDefault="0032493E">
      <w:pPr>
        <w:spacing w:line="480" w:lineRule="auto"/>
        <w:jc w:val="center"/>
      </w:pPr>
      <w:r>
        <w:t xml:space="preserve">SUBTITLE A. NAVIGATION DISTRICTS AND PORT AUTHORITIES</w:t>
      </w:r>
    </w:p>
    <w:p w:rsidR="003F3435" w:rsidRDefault="0032493E">
      <w:pPr>
        <w:spacing w:line="480" w:lineRule="auto"/>
        <w:jc w:val="center"/>
      </w:pPr>
      <w:r>
        <w:t xml:space="preserve">CHAPTER 5005.  VICTORIA COUNTY NAVIGATION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5005.001.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navigation and canal commissioners of the Victoria County Navigation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Victoria County Navigation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1066 (H.B. </w:t>
      </w:r>
      <w:hyperlink w:docLocation="table" r:id="rId14">
        <w:r>
          <w:rPr>
            <w:rStyle w:val="Hyperlink"/>
          </w:rPr>
          <w:t>2368</w:t>
        </w:r>
      </w:hyperlink>
      <w:r>
        <w:t xml:space="preserve">), Sec. 1, eff. June 15,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5005.051.</w:t>
      </w:r>
      <w:r xml:space="preserve">
        <w:t> </w:t>
      </w:r>
      <w:r xml:space="preserve">
        <w:t> </w:t>
      </w:r>
      <w:r>
        <w:t xml:space="preserve">COMPOSITION OF BOARD.  The district is governed by a board of five navigation and canal commissioners appointed by the Commissioners Court of Victoria County.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1066 (H.B. </w:t>
      </w:r>
      <w:hyperlink w:docLocation="table" r:id="rId15">
        <w:r>
          <w:rPr>
            <w:rStyle w:val="Hyperlink"/>
          </w:rPr>
          <w:t>2368</w:t>
        </w:r>
      </w:hyperlink>
      <w:r>
        <w:t xml:space="preserve">), Sec. 1, eff. June 15,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368F.HTM" TargetMode="External" Id="rId14" /><Relationship Type="http://schemas.openxmlformats.org/officeDocument/2006/relationships/hyperlink" Target="http://capitol.texas.gov/tlodocs/80R/billtext/html/HB02368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