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A. DRAINAGE DISTRICTS</w:t>
      </w:r>
    </w:p>
    <w:p w:rsidR="003F3435" w:rsidRDefault="0032493E">
      <w:pPr>
        <w:spacing w:line="480" w:lineRule="auto"/>
        <w:jc w:val="center"/>
      </w:pPr>
      <w:r>
        <w:t xml:space="preserve">CHAPTER 6614.  OLD RIVER DRAINAGE DISTRICT OF LIBERTY COUNTY, TEXAS,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6614.001.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Old River Drainage District of Liberty County, Texas, No. 1.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6614.002.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6614.003.</w:t>
      </w:r>
      <w:r xml:space="preserve">
        <w:t> </w:t>
      </w:r>
      <w:r xml:space="preserve">
        <w:t> </w:t>
      </w:r>
      <w:r>
        <w:t xml:space="preserve">FINDINGS OF BENEFIT.</w:t>
      </w:r>
      <w:r xml:space="preserve">
        <w:t> </w:t>
      </w:r>
      <w:r xml:space="preserve">
        <w:t> </w:t>
      </w:r>
      <w:r>
        <w:t xml:space="preserve">The conversion of the district into a conservation and reclamation district under Section </w:t>
      </w:r>
      <w:r>
        <w:t xml:space="preserve">59</w:t>
      </w:r>
      <w:r>
        <w:t xml:space="preserve">, Article XVI, Texas Constitution, and the provision to the district of the powers conferred by that section will benefit the residents of and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6614.004.</w:t>
      </w:r>
      <w:r xml:space="preserve">
        <w:t> </w:t>
      </w:r>
      <w:r xml:space="preserve">
        <w:t> </w:t>
      </w:r>
      <w:r>
        <w:t xml:space="preserve">GOVERNING LAW.</w:t>
      </w:r>
      <w:r xml:space="preserve">
        <w:t> </w:t>
      </w:r>
      <w:r xml:space="preserve">
        <w:t> </w:t>
      </w:r>
      <w:r>
        <w:t xml:space="preserve">The general laws applicable to conservation and reclamation districts govern the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1.01,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POWERS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6614.051.</w:t>
      </w:r>
      <w:r xml:space="preserve">
        <w:t> </w:t>
      </w:r>
      <w:r xml:space="preserve">
        <w:t> </w:t>
      </w:r>
      <w:r>
        <w:t xml:space="preserve">GENERAL POWERS.</w:t>
      </w:r>
      <w:r xml:space="preserve">
        <w:t> </w:t>
      </w:r>
      <w:r xml:space="preserve">
        <w:t> </w:t>
      </w:r>
      <w:r>
        <w:t xml:space="preserve">The district has the powers conferred by Section </w:t>
      </w:r>
      <w:r>
        <w:t xml:space="preserve">59</w:t>
      </w:r>
      <w:r>
        <w:t xml:space="preserve">, Article XVI, Texas Constitution, to a conservation and reclamation district.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1.01,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