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B. FRESH WATER SUPPLY DISTRICTS</w:t>
      </w:r>
    </w:p>
    <w:p w:rsidR="003F3435" w:rsidRDefault="0032493E">
      <w:pPr>
        <w:spacing w:line="480" w:lineRule="auto"/>
        <w:jc w:val="center"/>
      </w:pPr>
      <w:r>
        <w:t xml:space="preserve">CHAPTER 6909.  MIDLAND COUNTY FRESH WATER SUPPLY DISTRICT NO. 1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6909.001.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supervisors.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"District" means the Midland County Fresh Water Supply District No. 1.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"Supervisor" means a board member.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1253 (H.B. </w:t>
      </w:r>
      <w:hyperlink w:docLocation="table" r:id="rId14">
        <w:r>
          <w:rPr>
            <w:rStyle w:val="Hyperlink"/>
          </w:rPr>
          <w:t>64</w:t>
        </w:r>
      </w:hyperlink>
      <w:r>
        <w:t xml:space="preserve">), Sec. 1, eff. June 14,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6909.002.</w:t>
      </w:r>
      <w:r xml:space="preserve">
        <w:t> </w:t>
      </w:r>
      <w:r xml:space="preserve">
        <w:t> </w:t>
      </w:r>
      <w:r>
        <w:t xml:space="preserve">TORT LIABILITY.  (a)</w:t>
      </w:r>
      <w:r xml:space="preserve">
        <w:t> </w:t>
      </w:r>
      <w:r xml:space="preserve">
        <w:t> </w:t>
      </w:r>
      <w:r>
        <w:t xml:space="preserve">The district is a governmental unit under Chapter </w:t>
      </w:r>
      <w:r>
        <w:t xml:space="preserve">101</w:t>
      </w:r>
      <w:r>
        <w:t xml:space="preserve">, Civil Practice and Remedies Code, and the operations of the district are essential government functions and are not proprietary functions for any purpose, including the application of that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district, a supervisor, or a district employee is not liable for damages arising out of the performance of a governmental function of the district, except as provided by Chapter </w:t>
      </w:r>
      <w:r>
        <w:t xml:space="preserve">101</w:t>
      </w:r>
      <w:r>
        <w:t xml:space="preserve">, Civil Practice and Remedies Code.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1253 (H.B. </w:t>
      </w:r>
      <w:hyperlink w:docLocation="table" r:id="rId15">
        <w:r>
          <w:rPr>
            <w:rStyle w:val="Hyperlink"/>
          </w:rPr>
          <w:t>64</w:t>
        </w:r>
      </w:hyperlink>
      <w:r>
        <w:t xml:space="preserve">), Sec. 1, eff. June 14,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6909.003.</w:t>
      </w:r>
      <w:r xml:space="preserve">
        <w:t> </w:t>
      </w:r>
      <w:r xml:space="preserve">
        <w:t> </w:t>
      </w:r>
      <w:r>
        <w:t xml:space="preserve">NO LIABILITY FOR JOINT ENTERPRISE.</w:t>
      </w:r>
      <w:r xml:space="preserve">
        <w:t> </w:t>
      </w:r>
      <w:r xml:space="preserve">
        <w:t> </w:t>
      </w:r>
      <w:r>
        <w:t xml:space="preserve">The common law doctrine of vicarious liability because of participation in a joint enterprise does not impose liability on the district or a municipality that contracts with the district for a claim brought under Chapter </w:t>
      </w:r>
      <w:r>
        <w:t xml:space="preserve">101</w:t>
      </w:r>
      <w:r>
        <w:t xml:space="preserve">, Civil Practice and Remedies Code.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1253 (H.B. </w:t>
      </w:r>
      <w:hyperlink w:docLocation="table" r:id="rId16">
        <w:r>
          <w:rPr>
            <w:rStyle w:val="Hyperlink"/>
          </w:rPr>
          <w:t>64</w:t>
        </w:r>
      </w:hyperlink>
      <w:r>
        <w:t xml:space="preserve">), Sec. 1, eff. June 14,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6909.004.</w:t>
      </w:r>
      <w:r xml:space="preserve">
        <w:t> </w:t>
      </w:r>
      <w:r xml:space="preserve">
        <w:t> </w:t>
      </w:r>
      <w:r>
        <w:t xml:space="preserve">MANDATORY VENUE.</w:t>
      </w:r>
      <w:r xml:space="preserve">
        <w:t> </w:t>
      </w:r>
      <w:r xml:space="preserve">
        <w:t> </w:t>
      </w:r>
      <w:r>
        <w:t xml:space="preserve">Venue for an action brought against the district is in Midland County.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1253 (H.B. </w:t>
      </w:r>
      <w:hyperlink w:docLocation="table" r:id="rId17">
        <w:r>
          <w:rPr>
            <w:rStyle w:val="Hyperlink"/>
          </w:rPr>
          <w:t>64</w:t>
        </w:r>
      </w:hyperlink>
      <w:r>
        <w:t xml:space="preserve">), Sec. 1, eff. June 14, 2013.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3R/billtext/html/HB00064F.HTM" TargetMode="External" Id="rId14" /><Relationship Type="http://schemas.openxmlformats.org/officeDocument/2006/relationships/hyperlink" Target="http://capitol.texas.gov/tlodocs/83R/billtext/html/HB00064F.HTM" TargetMode="External" Id="rId15" /><Relationship Type="http://schemas.openxmlformats.org/officeDocument/2006/relationships/hyperlink" Target="http://capitol.texas.gov/tlodocs/83R/billtext/html/HB00064F.HTM" TargetMode="External" Id="rId16" /><Relationship Type="http://schemas.openxmlformats.org/officeDocument/2006/relationships/hyperlink" Target="http://capitol.texas.gov/tlodocs/83R/billtext/html/HB00064F.HTM" TargetMode="External" Id="rId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