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7918.  MONTGOMERY COUNTY MUNICIPAL UTILITY DISTRICT NO. 151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151.</w:t>
      </w:r>
    </w:p>
    <w:p w:rsidR="003F3435" w:rsidRDefault="0032493E">
      <w:pPr>
        <w:spacing w:line="480" w:lineRule="auto"/>
        <w:jc w:val="both"/>
      </w:pPr>
      <w:r>
        <w:t xml:space="preserve">Added by Acts 2015, 84th Leg., R.S., Ch. 495 (S.B. </w:t>
      </w:r>
      <w:hyperlink w:docLocation="table" r:id="rId14">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495 (S.B. </w:t>
      </w:r>
      <w:hyperlink w:docLocation="table" r:id="rId15">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495 (S.B. </w:t>
      </w:r>
      <w:hyperlink w:docLocation="table" r:id="rId16">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495 (S.B. </w:t>
      </w:r>
      <w:hyperlink w:docLocation="table" r:id="rId17">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495 (S.B. </w:t>
      </w:r>
      <w:hyperlink w:docLocation="table" r:id="rId18">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495 (S.B. </w:t>
      </w:r>
      <w:hyperlink w:docLocation="table" r:id="rId19">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7918.052</w:t>
      </w:r>
      <w:r>
        <w:t xml:space="preserve">, directors serve staggered four-year terms.</w:t>
      </w:r>
    </w:p>
    <w:p w:rsidR="003F3435" w:rsidRDefault="0032493E">
      <w:pPr>
        <w:spacing w:line="480" w:lineRule="auto"/>
        <w:jc w:val="both"/>
      </w:pPr>
      <w:r>
        <w:t xml:space="preserve">Added by Acts 2015, 84th Leg., R.S., Ch. 495 (S.B. </w:t>
      </w:r>
      <w:hyperlink w:docLocation="table" r:id="rId20">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495 (S.B. </w:t>
      </w:r>
      <w:hyperlink w:docLocation="table" r:id="rId21">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495 (S.B. </w:t>
      </w:r>
      <w:hyperlink w:docLocation="table" r:id="rId22">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495 (S.B. </w:t>
      </w:r>
      <w:hyperlink w:docLocation="table" r:id="rId23">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495 (S.B. </w:t>
      </w:r>
      <w:hyperlink w:docLocation="table" r:id="rId24">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495 (S.B. </w:t>
      </w:r>
      <w:hyperlink w:docLocation="table" r:id="rId25">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7918.105.</w:t>
      </w:r>
      <w:r xml:space="preserve">
        <w:t> </w:t>
      </w:r>
      <w:r xml:space="preserve">
        <w:t> </w:t>
      </w:r>
      <w:r>
        <w:t xml:space="preserve">CERTAIN NAVIGATION IMPROVEMENTS.  (a)</w:t>
      </w:r>
      <w:r xml:space="preserve">
        <w:t> </w:t>
      </w:r>
      <w:r xml:space="preserve">
        <w:t> </w:t>
      </w:r>
      <w:r>
        <w:t xml:space="preserve">The district is created for the following purposes and has the power to purchase, construct, acquire, own, operate, maintain, improve, or extend, inside or outside the district, a canal or other waterway, bulkhead, dock, or improvement in aid of such canals, waterways, bulkheads, or docks.</w:t>
      </w:r>
    </w:p>
    <w:p w:rsidR="003F3435" w:rsidRDefault="0032493E">
      <w:pPr>
        <w:spacing w:line="480" w:lineRule="auto"/>
        <w:ind w:firstLine="720"/>
        <w:jc w:val="both"/>
      </w:pPr>
      <w:r>
        <w:t xml:space="preserve">(b)</w:t>
      </w:r>
      <w:r xml:space="preserve">
        <w:t> </w:t>
      </w:r>
      <w:r xml:space="preserve">
        <w:t> </w:t>
      </w:r>
      <w:r>
        <w:t xml:space="preserve">Notwithstanding any other law, the powers provided by Subsection (a) are subject to the applicable rules, regulations, and approval of the San Jacinto River Authority.</w:t>
      </w:r>
    </w:p>
    <w:p w:rsidR="003F3435" w:rsidRDefault="0032493E">
      <w:pPr>
        <w:spacing w:line="480" w:lineRule="auto"/>
        <w:ind w:firstLine="720"/>
        <w:jc w:val="both"/>
      </w:pPr>
      <w:r>
        <w:t xml:space="preserve">(c)</w:t>
      </w:r>
      <w:r xml:space="preserve">
        <w:t> </w:t>
      </w:r>
      <w:r xml:space="preserve">
        <w:t> </w:t>
      </w:r>
      <w:r>
        <w:t xml:space="preserve">In the event the district adopts a rule or regulation relating to boating or navigation, the rule or regulation must be consistent with the applicable rules or regulations of the San Jacinto River Authority.</w:t>
      </w:r>
    </w:p>
    <w:p w:rsidR="003F3435" w:rsidRDefault="0032493E">
      <w:pPr>
        <w:spacing w:line="480" w:lineRule="auto"/>
        <w:jc w:val="both"/>
      </w:pPr>
      <w:r>
        <w:t xml:space="preserve">Added by Acts 2015, 84th Leg., R.S., Ch. 495 (S.B. </w:t>
      </w:r>
      <w:hyperlink w:docLocation="table" r:id="rId26">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495 (S.B. </w:t>
      </w:r>
      <w:hyperlink w:docLocation="table" r:id="rId27">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495 (S.B. </w:t>
      </w:r>
      <w:hyperlink w:docLocation="table" r:id="rId28">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495 (S.B. </w:t>
      </w:r>
      <w:hyperlink w:docLocation="table" r:id="rId29">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495 (S.B. </w:t>
      </w:r>
      <w:hyperlink w:docLocation="table" r:id="rId30">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495 (S.B. </w:t>
      </w:r>
      <w:hyperlink w:docLocation="table" r:id="rId31">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495 (S.B. </w:t>
      </w:r>
      <w:hyperlink w:docLocation="table" r:id="rId32">
        <w:r>
          <w:rPr>
            <w:rStyle w:val="Hyperlink"/>
          </w:rPr>
          <w:t>2028</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495 (S.B. </w:t>
      </w:r>
      <w:hyperlink w:docLocation="table" r:id="rId33">
        <w:r>
          <w:rPr>
            <w:rStyle w:val="Hyperlink"/>
          </w:rPr>
          <w:t>2028</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28F.HTM" TargetMode="External" Id="rId14" /><Relationship Type="http://schemas.openxmlformats.org/officeDocument/2006/relationships/hyperlink" Target="http://www.legis.state.tx.us/tlodocs/84R/billtext/html/SB02028F.HTM" TargetMode="External" Id="rId15" /><Relationship Type="http://schemas.openxmlformats.org/officeDocument/2006/relationships/hyperlink" Target="http://www.legis.state.tx.us/tlodocs/84R/billtext/html/SB02028F.HTM" TargetMode="External" Id="rId16" /><Relationship Type="http://schemas.openxmlformats.org/officeDocument/2006/relationships/hyperlink" Target="http://www.legis.state.tx.us/tlodocs/84R/billtext/html/SB02028F.HTM" TargetMode="External" Id="rId17" /><Relationship Type="http://schemas.openxmlformats.org/officeDocument/2006/relationships/hyperlink" Target="http://www.legis.state.tx.us/tlodocs/84R/billtext/html/SB02028F.HTM" TargetMode="External" Id="rId18" /><Relationship Type="http://schemas.openxmlformats.org/officeDocument/2006/relationships/hyperlink" Target="http://www.legis.state.tx.us/tlodocs/84R/billtext/html/SB02028F.HTM" TargetMode="External" Id="rId19" /><Relationship Type="http://schemas.openxmlformats.org/officeDocument/2006/relationships/hyperlink" Target="http://www.legis.state.tx.us/tlodocs/84R/billtext/html/SB02028F.HTM" TargetMode="External" Id="rId20" /><Relationship Type="http://schemas.openxmlformats.org/officeDocument/2006/relationships/hyperlink" Target="http://www.legis.state.tx.us/tlodocs/84R/billtext/html/SB02028F.HTM" TargetMode="External" Id="rId21" /><Relationship Type="http://schemas.openxmlformats.org/officeDocument/2006/relationships/hyperlink" Target="http://www.legis.state.tx.us/tlodocs/84R/billtext/html/SB02028F.HTM" TargetMode="External" Id="rId22" /><Relationship Type="http://schemas.openxmlformats.org/officeDocument/2006/relationships/hyperlink" Target="http://www.legis.state.tx.us/tlodocs/84R/billtext/html/SB02028F.HTM" TargetMode="External" Id="rId23" /><Relationship Type="http://schemas.openxmlformats.org/officeDocument/2006/relationships/hyperlink" Target="http://www.legis.state.tx.us/tlodocs/84R/billtext/html/SB02028F.HTM" TargetMode="External" Id="rId24" /><Relationship Type="http://schemas.openxmlformats.org/officeDocument/2006/relationships/hyperlink" Target="http://www.legis.state.tx.us/tlodocs/84R/billtext/html/SB02028F.HTM" TargetMode="External" Id="rId25" /><Relationship Type="http://schemas.openxmlformats.org/officeDocument/2006/relationships/hyperlink" Target="http://www.legis.state.tx.us/tlodocs/84R/billtext/html/SB02028F.HTM" TargetMode="External" Id="rId26" /><Relationship Type="http://schemas.openxmlformats.org/officeDocument/2006/relationships/hyperlink" Target="http://www.legis.state.tx.us/tlodocs/84R/billtext/html/SB02028F.HTM" TargetMode="External" Id="rId27" /><Relationship Type="http://schemas.openxmlformats.org/officeDocument/2006/relationships/hyperlink" Target="http://www.legis.state.tx.us/tlodocs/84R/billtext/html/SB02028F.HTM" TargetMode="External" Id="rId28" /><Relationship Type="http://schemas.openxmlformats.org/officeDocument/2006/relationships/hyperlink" Target="http://www.legis.state.tx.us/tlodocs/84R/billtext/html/SB02028F.HTM" TargetMode="External" Id="rId29" /><Relationship Type="http://schemas.openxmlformats.org/officeDocument/2006/relationships/hyperlink" Target="http://www.legis.state.tx.us/tlodocs/84R/billtext/html/SB02028F.HTM" TargetMode="External" Id="rId30" /><Relationship Type="http://schemas.openxmlformats.org/officeDocument/2006/relationships/hyperlink" Target="http://www.legis.state.tx.us/tlodocs/84R/billtext/html/SB02028F.HTM" TargetMode="External" Id="rId31" /><Relationship Type="http://schemas.openxmlformats.org/officeDocument/2006/relationships/hyperlink" Target="http://www.legis.state.tx.us/tlodocs/84R/billtext/html/SB02028F.HTM" TargetMode="External" Id="rId32" /><Relationship Type="http://schemas.openxmlformats.org/officeDocument/2006/relationships/hyperlink" Target="http://www.legis.state.tx.us/tlodocs/84R/billtext/html/SB0202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