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7945A.  MUSTANG RIDGE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Mustang Ridge Municipal Utility District.</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7945A.0103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7945A.0106.</w:t>
      </w:r>
      <w:r xml:space="preserve">
        <w:t> </w:t>
      </w:r>
      <w:r xml:space="preserve">
        <w:t> </w:t>
      </w:r>
      <w:r>
        <w:t xml:space="preserve">INITIAL DISTRICT TERRITORY.  (a)</w:t>
      </w:r>
      <w:r xml:space="preserve">
        <w:t> </w:t>
      </w:r>
      <w:r xml:space="preserve">
        <w:t> </w:t>
      </w:r>
      <w:r>
        <w:t xml:space="preserve">The district is initially composed of the territory described by Section 9(b)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9(b)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7945A.0202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section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9(c),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9(a), eff. September 1, 2021.</w:t>
      </w:r>
    </w:p>
    <w:p w:rsidR="003F3435" w:rsidRDefault="0032493E">
      <w:pPr>
        <w:spacing w:line="480" w:lineRule="auto"/>
        <w:jc w:val="both"/>
      </w:pPr>
    </w:p>
    <w:p w:rsidR="003F3435" w:rsidRDefault="0032493E">
      <w:pPr>
        <w:spacing w:line="480" w:lineRule="auto"/>
        <w:ind w:firstLine="720"/>
        <w:jc w:val="both"/>
      </w:pPr>
      <w:r>
        <w:t xml:space="preserve">Sec. 7945A.0503.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9(a),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