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7953.  MONTGOMERY COUNTY MUNICIPAL UTILITY DISTRICT NO. 144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144.</w:t>
      </w:r>
    </w:p>
    <w:p w:rsidR="003F3435" w:rsidRDefault="0032493E">
      <w:pPr>
        <w:spacing w:line="480" w:lineRule="auto"/>
        <w:jc w:val="both"/>
      </w:pPr>
      <w:r>
        <w:t xml:space="preserve">Added by Acts 2015, 84th Leg., R.S., Ch. 492 (S.B. </w:t>
      </w:r>
      <w:hyperlink w:docLocation="table" r:id="rId14">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492 (S.B. </w:t>
      </w:r>
      <w:hyperlink w:docLocation="table" r:id="rId15">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492 (S.B. </w:t>
      </w:r>
      <w:hyperlink w:docLocation="table" r:id="rId16">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7953.003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492 (S.B. </w:t>
      </w:r>
      <w:hyperlink w:docLocation="table" r:id="rId17">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492 (S.B. </w:t>
      </w:r>
      <w:hyperlink w:docLocation="table" r:id="rId18">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492 (S.B. </w:t>
      </w:r>
      <w:hyperlink w:docLocation="table" r:id="rId19">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7953.007.</w:t>
      </w:r>
      <w:r xml:space="preserve">
        <w:t> </w:t>
      </w:r>
      <w:r xml:space="preserve">
        <w:t> </w:t>
      </w:r>
      <w:r>
        <w:t xml:space="preserve">ELIGIBILITY FOR INCLUSION IN TAX INCREMENT REINVESTMENT ZONE.  (a)</w:t>
      </w:r>
      <w:r xml:space="preserve">
        <w:t> </w:t>
      </w:r>
      <w:r xml:space="preserve">
        <w:t> </w:t>
      </w:r>
      <w:r>
        <w:t xml:space="preserve">The district is eligible to be included in a tax increment reinvestment zone created under Chapter </w:t>
      </w:r>
      <w:r>
        <w:t xml:space="preserve">311</w:t>
      </w:r>
      <w:r>
        <w:t xml:space="preserve">, Tax Code.</w:t>
      </w:r>
    </w:p>
    <w:p w:rsidR="003F3435" w:rsidRDefault="0032493E">
      <w:pPr>
        <w:spacing w:line="480" w:lineRule="auto"/>
        <w:ind w:firstLine="720"/>
        <w:jc w:val="both"/>
      </w:pPr>
      <w:r>
        <w:t xml:space="preserve">(b)</w:t>
      </w:r>
      <w:r xml:space="preserve">
        <w:t> </w:t>
      </w:r>
      <w:r xml:space="preserve">
        <w:t> </w:t>
      </w:r>
      <w:r>
        <w:t xml:space="preserve">If the City of Conroe has created or creates a tax increment reinvestment zone described by Subsection (a) that includes all or part of the territory of the district, the City of Conroe and the board of directors of the zone or a developer of property within the tax increment reinvestment zone that receives or will receive money from the tax increment fund, by contract with the district, may grant money to the district from the tax increment fund to be used for a permissible purpose of the district, including:</w:t>
      </w:r>
    </w:p>
    <w:p w:rsidR="003F3435" w:rsidRDefault="0032493E">
      <w:pPr>
        <w:spacing w:line="480" w:lineRule="auto"/>
        <w:ind w:firstLine="1440"/>
        <w:jc w:val="both"/>
      </w:pPr>
      <w:r>
        <w:t xml:space="preserve">(1)</w:t>
      </w:r>
      <w:r xml:space="preserve">
        <w:t> </w:t>
      </w:r>
      <w:r xml:space="preserve">
        <w:t> </w:t>
      </w:r>
      <w:r>
        <w:t xml:space="preserve">the right to pledge the money as security for a bond or other obligation issued by the district; and</w:t>
      </w:r>
    </w:p>
    <w:p w:rsidR="003F3435" w:rsidRDefault="0032493E">
      <w:pPr>
        <w:spacing w:line="480" w:lineRule="auto"/>
        <w:ind w:firstLine="1440"/>
        <w:jc w:val="both"/>
      </w:pPr>
      <w:r>
        <w:t xml:space="preserve">(2)</w:t>
      </w:r>
      <w:r xml:space="preserve">
        <w:t> </w:t>
      </w:r>
      <w:r xml:space="preserve">
        <w:t> </w:t>
      </w:r>
      <w:r>
        <w:t xml:space="preserve">any permissible purpose of a corporation under Section </w:t>
      </w:r>
      <w:r>
        <w:t xml:space="preserve">380.002</w:t>
      </w:r>
      <w:r>
        <w:t xml:space="preserve">(b), Local Government Code.</w:t>
      </w:r>
    </w:p>
    <w:p w:rsidR="003F3435" w:rsidRDefault="0032493E">
      <w:pPr>
        <w:spacing w:line="480" w:lineRule="auto"/>
        <w:jc w:val="both"/>
      </w:pPr>
      <w:r>
        <w:t xml:space="preserve">Added by Acts 2015, 84th Leg., R.S., Ch. 492 (S.B. </w:t>
      </w:r>
      <w:hyperlink w:docLocation="table" r:id="rId20">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7953.052</w:t>
      </w:r>
      <w:r>
        <w:t xml:space="preserve">, directors serve staggered four-year terms.</w:t>
      </w:r>
    </w:p>
    <w:p w:rsidR="003F3435" w:rsidRDefault="0032493E">
      <w:pPr>
        <w:spacing w:line="480" w:lineRule="auto"/>
        <w:jc w:val="both"/>
      </w:pPr>
      <w:r>
        <w:t xml:space="preserve">Added by Acts 2015, 84th Leg., R.S., Ch. 492 (S.B. </w:t>
      </w:r>
      <w:hyperlink w:docLocation="table" r:id="rId21">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492 (S.B. </w:t>
      </w:r>
      <w:hyperlink w:docLocation="table" r:id="rId22">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492 (S.B. </w:t>
      </w:r>
      <w:hyperlink w:docLocation="table" r:id="rId23">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492 (S.B. </w:t>
      </w:r>
      <w:hyperlink w:docLocation="table" r:id="rId24">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492 (S.B. </w:t>
      </w:r>
      <w:hyperlink w:docLocation="table" r:id="rId25">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492 (S.B. </w:t>
      </w:r>
      <w:hyperlink w:docLocation="table" r:id="rId26">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7953.105.</w:t>
      </w:r>
      <w:r xml:space="preserve">
        <w:t> </w:t>
      </w:r>
      <w:r xml:space="preserve">
        <w:t> </w:t>
      </w:r>
      <w:r>
        <w:t xml:space="preserve">COMPLIANCE WITH MUNICIPAL CONSENT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In addition to all the rights and remedies provided by other law, if the district violates the terms of an ordinance or resolution described by Subsection (a), the municipality is entitled to injunctive relief or a writ of mandamus issued by a court requiring the district and the district's officials to observe and comply with the terms of the ordinance or resolution.</w:t>
      </w:r>
    </w:p>
    <w:p w:rsidR="003F3435" w:rsidRDefault="0032493E">
      <w:pPr>
        <w:spacing w:line="480" w:lineRule="auto"/>
        <w:jc w:val="both"/>
      </w:pPr>
      <w:r>
        <w:t xml:space="preserve">Added by Acts 2015, 84th Leg., R.S., Ch. 492 (S.B. </w:t>
      </w:r>
      <w:hyperlink w:docLocation="table" r:id="rId27">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7953.106.</w:t>
      </w:r>
      <w:r xml:space="preserve">
        <w:t> </w:t>
      </w:r>
      <w:r xml:space="preserve">
        <w:t> </w:t>
      </w:r>
      <w:r>
        <w:t xml:space="preserve">EFFECT OF ANNEXATION BY CITY OF CONROE.  (a)</w:t>
      </w:r>
      <w:r xml:space="preserve">
        <w:t> </w:t>
      </w:r>
      <w:r xml:space="preserve">
        <w:t> </w:t>
      </w:r>
      <w:r>
        <w:t xml:space="preserve">The City of Conroe may annex all or part of the district into its corporate limits without annexing the entire district under the terms of a development agreement between the City of Conroe and the owners of the land in the district that is covered by the development agreement.</w:t>
      </w:r>
      <w:r xml:space="preserve">
        <w:t> </w:t>
      </w:r>
      <w:r xml:space="preserve">
        <w:t> </w:t>
      </w:r>
      <w:r>
        <w:t xml:space="preserve">If a development agreement is not executed or the agreement has expired, nothing in this chapter limits the right of the City of Conroe to annex the district.</w:t>
      </w:r>
    </w:p>
    <w:p w:rsidR="003F3435" w:rsidRDefault="0032493E">
      <w:pPr>
        <w:spacing w:line="480" w:lineRule="auto"/>
        <w:ind w:firstLine="720"/>
        <w:jc w:val="both"/>
      </w:pPr>
      <w:r>
        <w:t xml:space="preserve">(b)</w:t>
      </w:r>
      <w:r xml:space="preserve">
        <w:t> </w:t>
      </w:r>
      <w:r xml:space="preserve">
        <w:t> </w:t>
      </w:r>
      <w:r>
        <w:t xml:space="preserve">If the City of Conroe annexes all or part of the district into its corporate limits:</w:t>
      </w:r>
    </w:p>
    <w:p w:rsidR="003F3435" w:rsidRDefault="0032493E">
      <w:pPr>
        <w:spacing w:line="480" w:lineRule="auto"/>
        <w:ind w:firstLine="1440"/>
        <w:jc w:val="both"/>
      </w:pPr>
      <w:r>
        <w:t xml:space="preserve">(1)</w:t>
      </w:r>
      <w:r xml:space="preserve">
        <w:t> </w:t>
      </w:r>
      <w:r xml:space="preserve">
        <w:t> </w:t>
      </w:r>
      <w:r>
        <w:t xml:space="preserve">the district is not dissolved;</w:t>
      </w:r>
    </w:p>
    <w:p w:rsidR="003F3435" w:rsidRDefault="0032493E">
      <w:pPr>
        <w:spacing w:line="480" w:lineRule="auto"/>
        <w:ind w:firstLine="1440"/>
        <w:jc w:val="both"/>
      </w:pPr>
      <w:r>
        <w:t xml:space="preserve">(2)</w:t>
      </w:r>
      <w:r xml:space="preserve">
        <w:t> </w:t>
      </w:r>
      <w:r xml:space="preserve">
        <w:t> </w:t>
      </w:r>
      <w:r>
        <w:t xml:space="preserve">the ability of the district to issue bonds is not impaired or precluded; and</w:t>
      </w:r>
    </w:p>
    <w:p w:rsidR="003F3435" w:rsidRDefault="0032493E">
      <w:pPr>
        <w:spacing w:line="480" w:lineRule="auto"/>
        <w:ind w:firstLine="1440"/>
        <w:jc w:val="both"/>
      </w:pPr>
      <w:r>
        <w:t xml:space="preserve">(3)</w:t>
      </w:r>
      <w:r xml:space="preserve">
        <w:t> </w:t>
      </w:r>
      <w:r xml:space="preserve">
        <w:t> </w:t>
      </w:r>
      <w:r>
        <w:t xml:space="preserve">unless otherwise approved by the board and the governing body of the City of Conroe, the city:</w:t>
      </w:r>
    </w:p>
    <w:p w:rsidR="003F3435" w:rsidRDefault="0032493E">
      <w:pPr>
        <w:spacing w:line="480" w:lineRule="auto"/>
        <w:ind w:firstLine="2160"/>
        <w:jc w:val="both"/>
      </w:pPr>
      <w:r>
        <w:t xml:space="preserve">(A)</w:t>
      </w:r>
      <w:r xml:space="preserve">
        <w:t> </w:t>
      </w:r>
      <w:r xml:space="preserve">
        <w:t> </w:t>
      </w:r>
      <w:r>
        <w:t xml:space="preserve">may not take over the property or other assets of the district;</w:t>
      </w:r>
    </w:p>
    <w:p w:rsidR="003F3435" w:rsidRDefault="0032493E">
      <w:pPr>
        <w:spacing w:line="480" w:lineRule="auto"/>
        <w:ind w:firstLine="2160"/>
        <w:jc w:val="both"/>
      </w:pPr>
      <w:r>
        <w:t xml:space="preserve">(B)</w:t>
      </w:r>
      <w:r xml:space="preserve">
        <w:t> </w:t>
      </w:r>
      <w:r xml:space="preserve">
        <w:t> </w:t>
      </w:r>
      <w:r>
        <w:t xml:space="preserve">may not assume any debts, liabilities, or other obligations of the district;</w:t>
      </w:r>
    </w:p>
    <w:p w:rsidR="003F3435" w:rsidRDefault="0032493E">
      <w:pPr>
        <w:spacing w:line="480" w:lineRule="auto"/>
        <w:ind w:firstLine="2160"/>
        <w:jc w:val="both"/>
      </w:pPr>
      <w:r>
        <w:t xml:space="preserve">(C)</w:t>
      </w:r>
      <w:r xml:space="preserve">
        <w:t> </w:t>
      </w:r>
      <w:r xml:space="preserve">
        <w:t> </w:t>
      </w:r>
      <w:r>
        <w:t xml:space="preserve">is not obligated to perform any functions of the district; and</w:t>
      </w:r>
    </w:p>
    <w:p w:rsidR="003F3435" w:rsidRDefault="0032493E">
      <w:pPr>
        <w:spacing w:line="480" w:lineRule="auto"/>
        <w:ind w:firstLine="2160"/>
        <w:jc w:val="both"/>
      </w:pPr>
      <w:r>
        <w:t xml:space="preserve">(D)</w:t>
      </w:r>
      <w:r xml:space="preserve">
        <w:t> </w:t>
      </w:r>
      <w:r xml:space="preserve">
        <w:t> </w:t>
      </w:r>
      <w:r>
        <w:t xml:space="preserve">is not obligated to pay a landowner or developer for expenses incurred by the landowner or developer in connection with the district that would otherwise be eligible for reimbursement from the proceeds of bonds issued by the district.</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54.016</w:t>
      </w:r>
      <w:r>
        <w:t xml:space="preserve">(f)(2), Water Code, an allocation agreement between the City of Conroe and the district that provides for the allocation of the taxes or revenues of the district and the city following the date of inclusion of all the district's territory in the corporate limits of the city may provide that the total annual ad valorem taxes collected by the city and the district from taxable property in the district may exceed the city's ad valorem tax on that property.</w:t>
      </w:r>
    </w:p>
    <w:p w:rsidR="003F3435" w:rsidRDefault="0032493E">
      <w:pPr>
        <w:spacing w:line="480" w:lineRule="auto"/>
        <w:jc w:val="both"/>
      </w:pPr>
      <w:r>
        <w:t xml:space="preserve">Added by Acts 2015, 84th Leg., R.S., Ch. 492 (S.B. </w:t>
      </w:r>
      <w:hyperlink w:docLocation="table" r:id="rId28">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7953.107.</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without the written consent of the City of Conroe.</w:t>
      </w:r>
    </w:p>
    <w:p w:rsidR="003F3435" w:rsidRDefault="0032493E">
      <w:pPr>
        <w:spacing w:line="480" w:lineRule="auto"/>
        <w:jc w:val="both"/>
      </w:pPr>
      <w:r>
        <w:t xml:space="preserve">Added by Acts 2015, 84th Leg., R.S., Ch. 492 (S.B. </w:t>
      </w:r>
      <w:hyperlink w:docLocation="table" r:id="rId29">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7953.151.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492 (S.B. </w:t>
      </w:r>
      <w:hyperlink w:docLocation="table" r:id="rId30">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492 (S.B. </w:t>
      </w:r>
      <w:hyperlink w:docLocation="table" r:id="rId31">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7953.201.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tax increment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492 (S.B. </w:t>
      </w:r>
      <w:hyperlink w:docLocation="table" r:id="rId32">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492 (S.B. </w:t>
      </w:r>
      <w:hyperlink w:docLocation="table" r:id="rId33">
        <w:r>
          <w:rPr>
            <w:rStyle w:val="Hyperlink"/>
          </w:rPr>
          <w:t>1005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7953.203.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492 (S.B. </w:t>
      </w:r>
      <w:hyperlink w:docLocation="table" r:id="rId34">
        <w:r>
          <w:rPr>
            <w:rStyle w:val="Hyperlink"/>
          </w:rPr>
          <w:t>1005</w:t>
        </w:r>
      </w:hyperlink>
      <w:r>
        <w:t xml:space="preserve">), Sec. 1,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005F.HTM" TargetMode="External" Id="rId14" /><Relationship Type="http://schemas.openxmlformats.org/officeDocument/2006/relationships/hyperlink" Target="http://capitol.texas.gov/tlodocs/84R/billtext/html/SB01005F.HTM" TargetMode="External" Id="rId15" /><Relationship Type="http://schemas.openxmlformats.org/officeDocument/2006/relationships/hyperlink" Target="http://capitol.texas.gov/tlodocs/84R/billtext/html/SB01005F.HTM" TargetMode="External" Id="rId16" /><Relationship Type="http://schemas.openxmlformats.org/officeDocument/2006/relationships/hyperlink" Target="http://capitol.texas.gov/tlodocs/84R/billtext/html/SB01005F.HTM" TargetMode="External" Id="rId17" /><Relationship Type="http://schemas.openxmlformats.org/officeDocument/2006/relationships/hyperlink" Target="http://capitol.texas.gov/tlodocs/84R/billtext/html/SB01005F.HTM" TargetMode="External" Id="rId18" /><Relationship Type="http://schemas.openxmlformats.org/officeDocument/2006/relationships/hyperlink" Target="http://capitol.texas.gov/tlodocs/84R/billtext/html/SB01005F.HTM" TargetMode="External" Id="rId19" /><Relationship Type="http://schemas.openxmlformats.org/officeDocument/2006/relationships/hyperlink" Target="http://capitol.texas.gov/tlodocs/84R/billtext/html/SB01005F.HTM" TargetMode="External" Id="rId20" /><Relationship Type="http://schemas.openxmlformats.org/officeDocument/2006/relationships/hyperlink" Target="http://capitol.texas.gov/tlodocs/84R/billtext/html/SB01005F.HTM" TargetMode="External" Id="rId21" /><Relationship Type="http://schemas.openxmlformats.org/officeDocument/2006/relationships/hyperlink" Target="http://capitol.texas.gov/tlodocs/84R/billtext/html/SB01005F.HTM" TargetMode="External" Id="rId22" /><Relationship Type="http://schemas.openxmlformats.org/officeDocument/2006/relationships/hyperlink" Target="http://capitol.texas.gov/tlodocs/84R/billtext/html/SB01005F.HTM" TargetMode="External" Id="rId23" /><Relationship Type="http://schemas.openxmlformats.org/officeDocument/2006/relationships/hyperlink" Target="http://capitol.texas.gov/tlodocs/84R/billtext/html/SB01005F.HTM" TargetMode="External" Id="rId24" /><Relationship Type="http://schemas.openxmlformats.org/officeDocument/2006/relationships/hyperlink" Target="http://capitol.texas.gov/tlodocs/84R/billtext/html/SB01005F.HTM" TargetMode="External" Id="rId25" /><Relationship Type="http://schemas.openxmlformats.org/officeDocument/2006/relationships/hyperlink" Target="http://capitol.texas.gov/tlodocs/84R/billtext/html/SB01005F.HTM" TargetMode="External" Id="rId26" /><Relationship Type="http://schemas.openxmlformats.org/officeDocument/2006/relationships/hyperlink" Target="http://capitol.texas.gov/tlodocs/84R/billtext/html/SB01005F.HTM" TargetMode="External" Id="rId27" /><Relationship Type="http://schemas.openxmlformats.org/officeDocument/2006/relationships/hyperlink" Target="http://capitol.texas.gov/tlodocs/84R/billtext/html/SB01005F.HTM" TargetMode="External" Id="rId28" /><Relationship Type="http://schemas.openxmlformats.org/officeDocument/2006/relationships/hyperlink" Target="http://capitol.texas.gov/tlodocs/84R/billtext/html/SB01005F.HTM" TargetMode="External" Id="rId29" /><Relationship Type="http://schemas.openxmlformats.org/officeDocument/2006/relationships/hyperlink" Target="http://capitol.texas.gov/tlodocs/84R/billtext/html/SB01005F.HTM" TargetMode="External" Id="rId30" /><Relationship Type="http://schemas.openxmlformats.org/officeDocument/2006/relationships/hyperlink" Target="http://capitol.texas.gov/tlodocs/84R/billtext/html/SB01005F.HTM" TargetMode="External" Id="rId31" /><Relationship Type="http://schemas.openxmlformats.org/officeDocument/2006/relationships/hyperlink" Target="http://capitol.texas.gov/tlodocs/84R/billtext/html/SB01005F.HTM" TargetMode="External" Id="rId32" /><Relationship Type="http://schemas.openxmlformats.org/officeDocument/2006/relationships/hyperlink" Target="http://capitol.texas.gov/tlodocs/84R/billtext/html/SB01005F.HTM" TargetMode="External" Id="rId33" /><Relationship Type="http://schemas.openxmlformats.org/officeDocument/2006/relationships/hyperlink" Target="http://capitol.texas.gov/tlodocs/84R/billtext/html/SB01005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