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8022. TANGLEWOOD FOREST LIMITED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8022.0001.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Tanglewood Forest Limited District. 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1.02,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8022.0051.</w:t>
      </w:r>
      <w:r xml:space="preserve">
        <w:t> </w:t>
      </w:r>
      <w:r xml:space="preserve">
        <w:t> </w:t>
      </w:r>
      <w:r>
        <w:t xml:space="preserve">USE OF GENERAL OPERATING FUNDS.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54.236</w:t>
      </w:r>
      <w:r>
        <w:t xml:space="preserve">, Water Code, the district may use general operating funds to install, operate, and maintain street or security lighting in an area in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that has had water utilities and streets installed for not less than eight years;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which the developer of the area has not installed street or security lighting as required as a condition of the municipality's granting its consent to the creation of the district under Section </w:t>
      </w:r>
      <w:r>
        <w:t xml:space="preserve">54.016</w:t>
      </w:r>
      <w:r>
        <w:t xml:space="preserve">, Water Code. 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1.02,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