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8030.  FORT BEND COUNTY MUNICIPAL UTILITY DISTRICT NO. 168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Fort Bend County Municipal Utility District No. 168.</w:t>
      </w:r>
    </w:p>
    <w:p w:rsidR="003F3435" w:rsidRDefault="0032493E">
      <w:pPr>
        <w:spacing w:line="480" w:lineRule="auto"/>
        <w:jc w:val="both"/>
      </w:pPr>
      <w:r>
        <w:t xml:space="preserve">Added by Acts 2019, 86th Leg., R.S., Ch. 139 (H.B. </w:t>
      </w:r>
      <w:hyperlink w:docLocation="table" r:id="rId14">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139 (H.B. </w:t>
      </w:r>
      <w:hyperlink w:docLocation="table" r:id="rId15">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139 (H.B. </w:t>
      </w:r>
      <w:hyperlink w:docLocation="table" r:id="rId16">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139 (H.B. </w:t>
      </w:r>
      <w:hyperlink w:docLocation="table" r:id="rId17">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139 (H.B. </w:t>
      </w:r>
      <w:hyperlink w:docLocation="table" r:id="rId18">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8030.0054.</w:t>
      </w:r>
      <w:r xml:space="preserve">
        <w:t> </w:t>
      </w:r>
      <w:r xml:space="preserve">
        <w:t> </w:t>
      </w:r>
      <w:r>
        <w:t xml:space="preserve">ROAD STANDARDS AND REQUIREMENTS.  (a)</w:t>
      </w:r>
      <w:r xml:space="preserve">
        <w:t> </w:t>
      </w:r>
      <w:r xml:space="preserve">
        <w:t> </w:t>
      </w:r>
      <w: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139 (H.B. </w:t>
      </w:r>
      <w:hyperlink w:docLocation="table" r:id="rId19">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8030.0055.</w:t>
      </w:r>
      <w:r xml:space="preserve">
        <w:t> </w:t>
      </w:r>
      <w:r xml:space="preserve">
        <w:t> </w:t>
      </w:r>
      <w:r>
        <w:t xml:space="preserve">AUTHORITY TO ESTABLISH DEFINED AREAS OR DESIGNATED PROPERTY.</w:t>
      </w:r>
      <w:r xml:space="preserve">
        <w:t> </w:t>
      </w:r>
      <w:r xml:space="preserve">
        <w:t> </w:t>
      </w:r>
      <w:r>
        <w:t xml:space="preserve">Notwithstanding the acreage requirement under Section </w:t>
      </w:r>
      <w:r>
        <w:t xml:space="preserve">54.801</w:t>
      </w:r>
      <w:r>
        <w:t xml:space="preserve">(a), Water Code, the district may define areas or designate certain property of the district as provided by Subchapter </w:t>
      </w:r>
      <w:r>
        <w:t xml:space="preserve">J</w:t>
      </w:r>
      <w:r>
        <w:t xml:space="preserve">, Chapter </w:t>
      </w:r>
      <w:r>
        <w:t xml:space="preserve">54</w:t>
      </w:r>
      <w:r>
        <w:t xml:space="preserve">, Water Code,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139 (H.B. </w:t>
      </w:r>
      <w:hyperlink w:docLocation="table" r:id="rId20">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revenue, contract payments, grants, or other district money, or any combination of those sources, to pay for a road project authorized by Section </w:t>
      </w:r>
      <w:r>
        <w:t xml:space="preserve">8030.0053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139 (H.B. </w:t>
      </w:r>
      <w:hyperlink w:docLocation="table" r:id="rId21">
        <w:r>
          <w:rPr>
            <w:rStyle w:val="Hyperlink"/>
          </w:rPr>
          <w:t>1935</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139 (H.B. </w:t>
      </w:r>
      <w:hyperlink w:docLocation="table" r:id="rId22">
        <w:r>
          <w:rPr>
            <w:rStyle w:val="Hyperlink"/>
          </w:rPr>
          <w:t>1935</w:t>
        </w:r>
      </w:hyperlink>
      <w:r>
        <w:t xml:space="preserve">), Sec. 1, eff. May 23,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935F.HTM" TargetMode="External" Id="rId14" /><Relationship Type="http://schemas.openxmlformats.org/officeDocument/2006/relationships/hyperlink" Target="http://www.legis.state.tx.us/tlodocs/86R/billtext/html/HB01935F.HTM" TargetMode="External" Id="rId15" /><Relationship Type="http://schemas.openxmlformats.org/officeDocument/2006/relationships/hyperlink" Target="http://www.legis.state.tx.us/tlodocs/86R/billtext/html/HB01935F.HTM" TargetMode="External" Id="rId16" /><Relationship Type="http://schemas.openxmlformats.org/officeDocument/2006/relationships/hyperlink" Target="http://www.legis.state.tx.us/tlodocs/86R/billtext/html/HB01935F.HTM" TargetMode="External" Id="rId17" /><Relationship Type="http://schemas.openxmlformats.org/officeDocument/2006/relationships/hyperlink" Target="http://www.legis.state.tx.us/tlodocs/86R/billtext/html/HB01935F.HTM" TargetMode="External" Id="rId18" /><Relationship Type="http://schemas.openxmlformats.org/officeDocument/2006/relationships/hyperlink" Target="http://www.legis.state.tx.us/tlodocs/86R/billtext/html/HB01935F.HTM" TargetMode="External" Id="rId19" /><Relationship Type="http://schemas.openxmlformats.org/officeDocument/2006/relationships/hyperlink" Target="http://www.legis.state.tx.us/tlodocs/86R/billtext/html/HB01935F.HTM" TargetMode="External" Id="rId20" /><Relationship Type="http://schemas.openxmlformats.org/officeDocument/2006/relationships/hyperlink" Target="http://www.legis.state.tx.us/tlodocs/86R/billtext/html/HB01935F.HTM" TargetMode="External" Id="rId21" /><Relationship Type="http://schemas.openxmlformats.org/officeDocument/2006/relationships/hyperlink" Target="http://www.legis.state.tx.us/tlodocs/86R/billtext/html/HB0193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