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8087.  HARRIS COUNTY MUNICIPAL UTILITY DISTRICT NO. 248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8087.0101.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Harris County Municipal Utility District No. 248.</w:t>
      </w:r>
    </w:p>
    <w:p w:rsidR="003F3435" w:rsidRDefault="0032493E">
      <w:pPr>
        <w:spacing w:line="480" w:lineRule="auto"/>
        <w:jc w:val="both"/>
      </w:pPr>
      <w:r>
        <w:t xml:space="preserve">Added by Acts 2019, 86th Leg., R.S., Ch. 62 (S.B. </w:t>
      </w:r>
      <w:hyperlink w:docLocation="table" r:id="rId14">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62 (S.B. </w:t>
      </w:r>
      <w:hyperlink w:docLocation="table" r:id="rId15">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8087.0201.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62 (S.B. </w:t>
      </w:r>
      <w:hyperlink w:docLocation="table" r:id="rId16">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62 (S.B. </w:t>
      </w:r>
      <w:hyperlink w:docLocation="table" r:id="rId17">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62 (S.B. </w:t>
      </w:r>
      <w:hyperlink w:docLocation="table" r:id="rId18">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62 (S.B. </w:t>
      </w:r>
      <w:hyperlink w:docLocation="table" r:id="rId19">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jc w:val="center"/>
      </w:pPr>
      <w:r>
        <w:t xml:space="preserve">SUBCHAPTER C.  DEFINED AREAS</w:t>
      </w:r>
    </w:p>
    <w:p w:rsidR="003F3435" w:rsidRDefault="0032493E">
      <w:pPr>
        <w:spacing w:line="480" w:lineRule="auto"/>
        <w:jc w:val="both"/>
      </w:pPr>
    </w:p>
    <w:p w:rsidR="003F3435" w:rsidRDefault="0032493E">
      <w:pPr>
        <w:spacing w:line="480" w:lineRule="auto"/>
        <w:ind w:firstLine="720"/>
        <w:jc w:val="both"/>
      </w:pPr>
      <w:r>
        <w:t xml:space="preserve">Sec. 8087.0301.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62 (S.B. </w:t>
      </w:r>
      <w:hyperlink w:docLocation="table" r:id="rId20">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8087.0302.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in the defined area or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62 (S.B. </w:t>
      </w:r>
      <w:hyperlink w:docLocation="table" r:id="rId21">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8087.0303.</w:t>
      </w:r>
      <w:r xml:space="preserve">
        <w:t> </w:t>
      </w:r>
      <w:r xml:space="preserve">
        <w:t> </w:t>
      </w:r>
      <w:r>
        <w:t xml:space="preserve">DECLARING RESULT AND ISSUING ORDER.  (a)</w:t>
      </w:r>
      <w:r xml:space="preserve">
        <w:t> </w:t>
      </w:r>
      <w:r xml:space="preserve">
        <w:t> </w:t>
      </w:r>
      <w:r>
        <w:t xml:space="preserve">If a majority of the voters voting at an election held under Section </w:t>
      </w:r>
      <w:r>
        <w:t xml:space="preserve">8087.0302</w:t>
      </w:r>
      <w:r>
        <w:t xml:space="preserve"> approve the proposition or propositions, the board shall declare the results and, by order, shall establish the defined area or designated property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2019, 86th Leg., R.S., Ch. 62 (S.B. </w:t>
      </w:r>
      <w:hyperlink w:docLocation="table" r:id="rId22">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8087.0304.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8087.0303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62 (S.B. </w:t>
      </w:r>
      <w:hyperlink w:docLocation="table" r:id="rId23">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8087.0305.</w:t>
      </w:r>
      <w:r xml:space="preserve">
        <w:t> </w:t>
      </w:r>
      <w:r xml:space="preserve">
        <w:t> </w:t>
      </w:r>
      <w:r>
        <w:t xml:space="preserve">ISSUANCE OF BONDS FOR DEFINED AREA OR DESIGNATED PROPERTY.</w:t>
      </w:r>
      <w:r xml:space="preserve">
        <w:t> </w:t>
      </w:r>
      <w:r xml:space="preserve">
        <w:t> </w:t>
      </w:r>
      <w:r>
        <w:t xml:space="preserve">After an order under Section </w:t>
      </w:r>
      <w:r>
        <w:t xml:space="preserve">8087.0303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62 (S.B. </w:t>
      </w:r>
      <w:hyperlink w:docLocation="table" r:id="rId24">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8087.0401.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8087.0203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62 (S.B. </w:t>
      </w:r>
      <w:hyperlink w:docLocation="table" r:id="rId25">
        <w:r>
          <w:rPr>
            <w:rStyle w:val="Hyperlink"/>
          </w:rPr>
          <w:t>2521</w:t>
        </w:r>
      </w:hyperlink>
      <w:r>
        <w:t xml:space="preserve">), Sec. 1, eff. May 20, 2019.</w:t>
      </w:r>
    </w:p>
    <w:p w:rsidR="003F3435" w:rsidRDefault="0032493E">
      <w:pPr>
        <w:spacing w:line="480" w:lineRule="auto"/>
        <w:jc w:val="both"/>
      </w:pPr>
    </w:p>
    <w:p w:rsidR="003F3435" w:rsidRDefault="0032493E">
      <w:pPr>
        <w:spacing w:line="480" w:lineRule="auto"/>
        <w:ind w:firstLine="720"/>
        <w:jc w:val="both"/>
      </w:pPr>
      <w:r>
        <w:t xml:space="preserve">Sec. 8087.0402.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62 (S.B. </w:t>
      </w:r>
      <w:hyperlink w:docLocation="table" r:id="rId26">
        <w:r>
          <w:rPr>
            <w:rStyle w:val="Hyperlink"/>
          </w:rPr>
          <w:t>2521</w:t>
        </w:r>
      </w:hyperlink>
      <w:r>
        <w:t xml:space="preserve">), Sec. 1, eff. May 20,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521F.HTM" TargetMode="External" Id="rId14" /><Relationship Type="http://schemas.openxmlformats.org/officeDocument/2006/relationships/hyperlink" Target="http://capitol.texas.gov/tlodocs/86R/billtext/html/SB02521F.HTM" TargetMode="External" Id="rId15" /><Relationship Type="http://schemas.openxmlformats.org/officeDocument/2006/relationships/hyperlink" Target="http://capitol.texas.gov/tlodocs/86R/billtext/html/SB02521F.HTM" TargetMode="External" Id="rId16" /><Relationship Type="http://schemas.openxmlformats.org/officeDocument/2006/relationships/hyperlink" Target="http://capitol.texas.gov/tlodocs/86R/billtext/html/SB02521F.HTM" TargetMode="External" Id="rId17" /><Relationship Type="http://schemas.openxmlformats.org/officeDocument/2006/relationships/hyperlink" Target="http://capitol.texas.gov/tlodocs/86R/billtext/html/SB02521F.HTM" TargetMode="External" Id="rId18" /><Relationship Type="http://schemas.openxmlformats.org/officeDocument/2006/relationships/hyperlink" Target="http://capitol.texas.gov/tlodocs/86R/billtext/html/SB02521F.HTM" TargetMode="External" Id="rId19" /><Relationship Type="http://schemas.openxmlformats.org/officeDocument/2006/relationships/hyperlink" Target="http://capitol.texas.gov/tlodocs/86R/billtext/html/SB02521F.HTM" TargetMode="External" Id="rId20" /><Relationship Type="http://schemas.openxmlformats.org/officeDocument/2006/relationships/hyperlink" Target="http://capitol.texas.gov/tlodocs/86R/billtext/html/SB02521F.HTM" TargetMode="External" Id="rId21" /><Relationship Type="http://schemas.openxmlformats.org/officeDocument/2006/relationships/hyperlink" Target="http://capitol.texas.gov/tlodocs/86R/billtext/html/SB02521F.HTM" TargetMode="External" Id="rId22" /><Relationship Type="http://schemas.openxmlformats.org/officeDocument/2006/relationships/hyperlink" Target="http://capitol.texas.gov/tlodocs/86R/billtext/html/SB02521F.HTM" TargetMode="External" Id="rId23" /><Relationship Type="http://schemas.openxmlformats.org/officeDocument/2006/relationships/hyperlink" Target="http://capitol.texas.gov/tlodocs/86R/billtext/html/SB02521F.HTM" TargetMode="External" Id="rId24" /><Relationship Type="http://schemas.openxmlformats.org/officeDocument/2006/relationships/hyperlink" Target="http://capitol.texas.gov/tlodocs/86R/billtext/html/SB02521F.HTM" TargetMode="External" Id="rId25" /><Relationship Type="http://schemas.openxmlformats.org/officeDocument/2006/relationships/hyperlink" Target="http://capitol.texas.gov/tlodocs/86R/billtext/html/SB0252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