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8278. HARRIS COUNTY WATER CONTROL AND IMPROVEMENT DISTRICT NO. 132 OF 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Water Control and Improvement District No. 132 of Harris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8278.004.</w:t>
      </w:r>
      <w:r xml:space="preserve">
        <w:t> </w:t>
      </w:r>
      <w:r xml:space="preserve">
        <w:t> </w:t>
      </w:r>
      <w:r>
        <w:t xml:space="preserve">DISTRICT TERRITORY.  (a)  The district is composed of the territory described by Section 2, Chapter 144,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144,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8278.005.</w:t>
      </w:r>
      <w:r xml:space="preserve">
        <w:t> </w:t>
      </w:r>
      <w:r xml:space="preserve">
        <w:t> </w:t>
      </w:r>
      <w:r>
        <w:t xml:space="preserve">EXPANSION OF DISTRICT.  (a)  If land is annexed to the district under Section </w:t>
      </w:r>
      <w:r>
        <w:t xml:space="preserve">49.301</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to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8278.006.</w:t>
      </w:r>
      <w:r xml:space="preserve">
        <w:t> </w:t>
      </w:r>
      <w:r xml:space="preserve">
        <w:t> </w:t>
      </w:r>
      <w:r>
        <w:t xml:space="preserve">STATE POLICY REGARDING WASTE DISPOSAL.  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8278.051.</w:t>
      </w:r>
      <w:r xml:space="preserve">
        <w:t> </w:t>
      </w:r>
      <w:r xml:space="preserve">
        <w:t> </w:t>
      </w:r>
      <w:r>
        <w:t xml:space="preserve">COMPOSITION OF BOARD.  The board consists of five elected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8278.052.</w:t>
      </w:r>
      <w:r xml:space="preserve">
        <w:t> </w:t>
      </w:r>
      <w:r xml:space="preserve">
        <w:t> </w:t>
      </w:r>
      <w:r>
        <w:t xml:space="preserve">APPOINTMENT OF TREASURER.  The board may appoint the treasurer.</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8278.053.</w:t>
      </w:r>
      <w:r xml:space="preserve">
        <w:t> </w:t>
      </w:r>
      <w:r xml:space="preserve">
        <w:t> </w:t>
      </w:r>
      <w:r>
        <w:t xml:space="preserve">DIRECTOR'S AND TREASURER'S BONDS.  (a)  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8278.054.</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 sign an order or other action adopted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other action.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8278.055.</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the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the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8278.101.</w:t>
      </w:r>
      <w:r xml:space="preserve">
        <w:t> </w:t>
      </w:r>
      <w:r xml:space="preserve">
        <w:t> </w:t>
      </w:r>
      <w:r>
        <w:t xml:space="preserve">MUNICIPAL UTILITY DISTRICT POWERS.  (a)  The district has all of the rights, powers, privileges, and functions conferred and imposed by the general law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exercise inside or outside the district's boundaries any of the rights or powers granted by this chapter or under the general law relating to municipal utility districts, including the provision of water or sewerage service.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or useful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the general law relating to municipal utility districts.</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8278.103.</w:t>
      </w:r>
      <w:r xml:space="preserve">
        <w:t> </w:t>
      </w:r>
      <w:r xml:space="preserve">
        <w:t> </w:t>
      </w:r>
      <w:r>
        <w:t xml:space="preserve">EMINENT DOMAIN.  The district may exercise the power of eminent domain only in the county in which the district is located.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makes necessary the relocation, raising, lowering,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8278.105.</w:t>
      </w:r>
      <w:r xml:space="preserve">
        <w:t> </w:t>
      </w:r>
      <w:r xml:space="preserve">
        <w:t> </w:t>
      </w:r>
      <w:r>
        <w:t xml:space="preserve">NOTICE OF ELECTION.  The board president or secretary may give notice of an election.</w:t>
      </w:r>
      <w:r xml:space="preserve">
        <w:t> </w:t>
      </w:r>
      <w:r xml:space="preserve">
        <w:t> </w:t>
      </w:r>
      <w:r>
        <w:t xml:space="preserve">(Acts 61st Leg., R.S., Ch. 144, Sec. 19 (part).)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8278.151.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8278.153.</w:t>
      </w:r>
      <w:r xml:space="preserve">
        <w:t> </w:t>
      </w:r>
      <w:r xml:space="preserve">
        <w:t> </w:t>
      </w:r>
      <w:r>
        <w:t xml:space="preserve">FISCAL YEAR.  The fiscal year of the district is from January 1 to December 31 of the same year.</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8278.154.</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8278.155.</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8278.156.</w:t>
      </w:r>
      <w:r xml:space="preserve">
        <w:t> </w:t>
      </w:r>
      <w:r xml:space="preserve">
        <w:t> </w:t>
      </w:r>
      <w:r>
        <w:t xml:space="preserve">DEPOSITORY.  (a)  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8278.201.</w:t>
      </w:r>
      <w:r xml:space="preserve">
        <w:t> </w:t>
      </w:r>
      <w:r xml:space="preserve">
        <w:t> </w:t>
      </w:r>
      <w:r>
        <w:t xml:space="preserve">AUTHORITY TO ISSUE BONDS.  The district may issue bonds to provide water and sewer service to areas inside or outside the boundaries of the district, regardless of whether the areas are contiguous or noncontiguous.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8278.202.</w:t>
      </w:r>
      <w:r xml:space="preserve">
        <w:t> </w:t>
      </w:r>
      <w:r xml:space="preserve">
        <w:t> </w:t>
      </w:r>
      <w:r>
        <w:t xml:space="preserve">LOST OR MUTILATED BONDS.  A trust indenture securing bonds issued under this chapter may provide for the issuance of bonds to replace lost or mutilated bonds.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8278.203.</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8278.204.</w:t>
      </w:r>
      <w:r xml:space="preserve">
        <w:t> </w:t>
      </w:r>
      <w:r xml:space="preserve">
        <w:t> </w:t>
      </w:r>
      <w:r>
        <w:t xml:space="preserve">REFUNDING BONDS.  (a)  By order or resolution adopted by the board, the district may issue tax or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