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8284.  GREENWOOD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Greenwood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8284.004.</w:t>
      </w:r>
      <w:r xml:space="preserve">
        <w:t> </w:t>
      </w:r>
      <w:r xml:space="preserve">
        <w:t> </w:t>
      </w:r>
      <w:r>
        <w:t xml:space="preserve">DISTRICT TERRITORY.  (a)  The district is composed of the territory described by Section 2, Chapter 616,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616,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8284.005.</w:t>
      </w:r>
      <w:r xml:space="preserve">
        <w:t> </w:t>
      </w:r>
      <w:r xml:space="preserve">
        <w:t> </w:t>
      </w:r>
      <w:r>
        <w:t xml:space="preserve">EXPANSION OF DISTRICT.  (a)  If land is annexed to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to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8284.006.</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8284.051.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8284.052.</w:t>
      </w:r>
      <w:r xml:space="preserve">
        <w:t> </w:t>
      </w:r>
      <w:r xml:space="preserve">
        <w:t> </w:t>
      </w:r>
      <w:r>
        <w:t xml:space="preserve">APPOINTMENT OF TREASURER.  The board may appoint the treasurer.</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8284.053.</w:t>
      </w:r>
      <w:r xml:space="preserve">
        <w:t> </w:t>
      </w:r>
      <w:r xml:space="preserve">
        <w:t> </w:t>
      </w:r>
      <w:r>
        <w:t xml:space="preserve">DIRECTOR'S AND TREASURER'S BONDS.  (a)  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8284.054.</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other action.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8284.055.</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8284.101.</w:t>
      </w:r>
      <w:r xml:space="preserve">
        <w:t> </w:t>
      </w:r>
      <w:r xml:space="preserve">
        <w:t> </w:t>
      </w:r>
      <w:r>
        <w:t xml:space="preserve">MUNICIPAL UTILITY DISTRICT POWERS.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the general law relating to municipal utility districts.</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makes necessary the relocation, raising, lowering,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8284.105.</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8284.151.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8284.153.</w:t>
      </w:r>
      <w:r xml:space="preserve">
        <w:t> </w:t>
      </w:r>
      <w:r xml:space="preserve">
        <w:t> </w:t>
      </w:r>
      <w:r>
        <w:t xml:space="preserve">FISCAL YEAR.  The fiscal year of the district is from January 1 to December 31 of the same year.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8284.154.</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8284.155.</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8284.156.</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8284.201.</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8284.202.</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8284.203.</w:t>
      </w:r>
      <w:r xml:space="preserve">
        <w:t> </w:t>
      </w:r>
      <w:r xml:space="preserve">
        <w:t> </w:t>
      </w:r>
      <w:r>
        <w:t xml:space="preserve">REFUNDING BONDS.  (a)  By order or resolution adopted by the board, the district may issue tax or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