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8891.  JEFF DAVIS COUNTY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"Commissioners court" means the Jeff Davis County Commissioners Court.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"District" means the Jeff Davis County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4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Jeff Davis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5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6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Jeff Davis County,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7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8891.005.</w:t>
      </w:r>
      <w:r xml:space="preserve">
        <w:t> </w:t>
      </w:r>
      <w:r xml:space="preserve">
        <w:t> </w:t>
      </w:r>
      <w:r>
        <w:t xml:space="preserve">APPLICABILITY OF OTHER GROUNDWATER CONSERVATION DISTRICT LAW.  (a)</w:t>
      </w:r>
      <w:r xml:space="preserve">
        <w:t> </w:t>
      </w:r>
      <w:r xml:space="preserve">
        <w:t> </w:t>
      </w:r>
      <w:r>
        <w:t xml:space="preserve">Except as otherwise provided by this chapter, Chapter </w:t>
      </w:r>
      <w:r>
        <w:t xml:space="preserve">36</w:t>
      </w:r>
      <w:r>
        <w:t xml:space="preserve">, Water Code, applies to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</w:t>
      </w:r>
      <w:r>
        <w:t xml:space="preserve">36.121</w:t>
      </w:r>
      <w:r>
        <w:t xml:space="preserve">, Water Code, does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8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 appointed by the commissioners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 that expire on March 1 of the applicable odd-numbered year.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19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8891.052.</w:t>
      </w:r>
      <w:r xml:space="preserve">
        <w:t> </w:t>
      </w:r>
      <w:r xml:space="preserve">
        <w:t> </w:t>
      </w:r>
      <w:r>
        <w:t xml:space="preserve">VACANCIES.</w:t>
      </w:r>
      <w:r xml:space="preserve">
        <w:t> </w:t>
      </w:r>
      <w:r xml:space="preserve">
        <w:t> </w:t>
      </w:r>
      <w:r>
        <w:t xml:space="preserve">If there is a vacancy on the board, the commissioners court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20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21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8891.102.</w:t>
      </w:r>
      <w:r xml:space="preserve">
        <w:t> </w:t>
      </w:r>
      <w:r xml:space="preserve">
        <w:t> </w:t>
      </w:r>
      <w:r>
        <w:t xml:space="preserve">LIMITATION ON TAXES.</w:t>
      </w:r>
      <w:r xml:space="preserve">
        <w:t> </w:t>
      </w:r>
      <w:r xml:space="preserve">
        <w:t> </w:t>
      </w:r>
      <w:r>
        <w:t xml:space="preserve">The district may not impose taxes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22">
        <w:r>
          <w:rPr>
            <w:rStyle w:val="Hyperlink"/>
          </w:rPr>
          <w:t>964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8891.103.</w:t>
      </w:r>
      <w:r xml:space="preserve">
        <w:t> </w:t>
      </w:r>
      <w:r xml:space="preserve">
        <w:t> </w:t>
      </w:r>
      <w:r>
        <w:t xml:space="preserve">FEES.  (a)</w:t>
      </w:r>
      <w:r xml:space="preserve">
        <w:t> </w:t>
      </w:r>
      <w:r xml:space="preserve">
        <w:t> </w:t>
      </w:r>
      <w:r>
        <w:t xml:space="preserve">The district may assess fees as authorized by Section </w:t>
      </w:r>
      <w:r>
        <w:t xml:space="preserve">36.205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charge for an annual period production fees greater than $1 per acre-foot for water used for agricultural use or 17 cents per 1,000 gallons for water used for any other purpose.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1158 (S.B. </w:t>
      </w:r>
      <w:hyperlink w:docLocation="table" r:id="rId23">
        <w:r>
          <w:rPr>
            <w:rStyle w:val="Hyperlink"/>
          </w:rPr>
          <w:t>964</w:t>
        </w:r>
      </w:hyperlink>
      <w:r>
        <w:t xml:space="preserve">), Sec. 1,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0964F.HTM" TargetMode="External" Id="rId14" /><Relationship Type="http://schemas.openxmlformats.org/officeDocument/2006/relationships/hyperlink" Target="http://capitol.texas.gov/tlodocs/85R/billtext/html/SB00964F.HTM" TargetMode="External" Id="rId15" /><Relationship Type="http://schemas.openxmlformats.org/officeDocument/2006/relationships/hyperlink" Target="http://capitol.texas.gov/tlodocs/85R/billtext/html/SB00964F.HTM" TargetMode="External" Id="rId16" /><Relationship Type="http://schemas.openxmlformats.org/officeDocument/2006/relationships/hyperlink" Target="http://capitol.texas.gov/tlodocs/85R/billtext/html/SB00964F.HTM" TargetMode="External" Id="rId17" /><Relationship Type="http://schemas.openxmlformats.org/officeDocument/2006/relationships/hyperlink" Target="http://capitol.texas.gov/tlodocs/85R/billtext/html/SB00964F.HTM" TargetMode="External" Id="rId18" /><Relationship Type="http://schemas.openxmlformats.org/officeDocument/2006/relationships/hyperlink" Target="http://capitol.texas.gov/tlodocs/85R/billtext/html/SB00964F.HTM" TargetMode="External" Id="rId19" /><Relationship Type="http://schemas.openxmlformats.org/officeDocument/2006/relationships/hyperlink" Target="http://capitol.texas.gov/tlodocs/85R/billtext/html/SB00964F.HTM" TargetMode="External" Id="rId20" /><Relationship Type="http://schemas.openxmlformats.org/officeDocument/2006/relationships/hyperlink" Target="http://capitol.texas.gov/tlodocs/85R/billtext/html/SB00964F.HTM" TargetMode="External" Id="rId21" /><Relationship Type="http://schemas.openxmlformats.org/officeDocument/2006/relationships/hyperlink" Target="http://capitol.texas.gov/tlodocs/85R/billtext/html/SB00964F.HTM" TargetMode="External" Id="rId22" /><Relationship Type="http://schemas.openxmlformats.org/officeDocument/2006/relationships/hyperlink" Target="http://capitol.texas.gov/tlodocs/85R/billtext/html/SB00964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