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9079.  FORT HANCOCK WATER CONTROL AND IMPROVEMENT DISTRICT OF HUDSPETH COUNTY, TEXAS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Fort Hancock Water Control and Improvement District of Hudspeth County, Texas.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9079.0002.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9079.0003.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 is composed of the territory described by Section 5, Chapter 78, Acts of the 57th Legislature, Regular Session, 1961,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O</w:t>
      </w:r>
      <w:r>
        <w:t xml:space="preserve">, Chapter </w:t>
      </w:r>
      <w:r>
        <w:t xml:space="preserve">51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6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9079.0051.</w:t>
      </w:r>
      <w:r xml:space="preserve">
        <w:t> </w:t>
      </w:r>
      <w:r xml:space="preserve">
        <w:t> </w:t>
      </w:r>
      <w:r>
        <w:t xml:space="preserve">NOTICE OF DIRECTORS' ELECTION.</w:t>
      </w:r>
      <w:r xml:space="preserve">
        <w:t> </w:t>
      </w:r>
      <w:r xml:space="preserve">
        <w:t> </w:t>
      </w:r>
      <w:r>
        <w:t xml:space="preserve">Notice of a directors' election shall be posted in three or more public places in the district for at least 14 days before the date of the election.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7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9079.0052.</w:t>
      </w:r>
      <w:r xml:space="preserve">
        <w:t> </w:t>
      </w:r>
      <w:r xml:space="preserve">
        <w:t> </w:t>
      </w:r>
      <w:r>
        <w:t xml:space="preserve">DIRECTOR'S BOND.</w:t>
      </w:r>
      <w:r xml:space="preserve">
        <w:t> </w:t>
      </w:r>
      <w:r xml:space="preserve">
        <w:t> </w:t>
      </w:r>
      <w:r>
        <w:t xml:space="preserve">Each director shall give bond in the amount of $1,000 for the faithful performance of the director's duties.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8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9079.0101.</w:t>
      </w:r>
      <w:r xml:space="preserve">
        <w:t> </w:t>
      </w:r>
      <w:r xml:space="preserve">
        <w:t> </w:t>
      </w:r>
      <w:r>
        <w:t xml:space="preserve">GENERAL POWERS AND DUTIES.</w:t>
      </w:r>
      <w:r xml:space="preserve">
        <w:t> </w:t>
      </w:r>
      <w:r xml:space="preserve">
        <w:t> </w:t>
      </w:r>
      <w:r>
        <w:t xml:space="preserve">The district has the rights, powers, privileges, and duties provided by general law applicable to a water control and improvement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 and </w:t>
      </w:r>
      <w:r>
        <w:t xml:space="preserve">51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9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9079.0102.</w:t>
      </w:r>
      <w:r xml:space="preserve">
        <w:t> </w:t>
      </w:r>
      <w:r xml:space="preserve">
        <w:t> </w:t>
      </w:r>
      <w:r>
        <w:t xml:space="preserve">COST OF RELOCATING OR ALTERING PROPERTY.</w:t>
      </w:r>
      <w:r xml:space="preserve">
        <w:t> </w:t>
      </w:r>
      <w:r xml:space="preserve">
        <w:t> </w:t>
      </w:r>
      <w:r>
        <w:t xml:space="preserve">If the district's exercise of a power granted under this chapter makes necessary relocating, raising, rerouting, changing the grade of, or altering the construction of a highway, railroad, electric transmission line, telephone or telegraph property or facility, or pipeline, the necessary action shall be accomplished at the sole expense of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0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9079.0151.</w:t>
      </w:r>
      <w:r xml:space="preserve">
        <w:t> </w:t>
      </w:r>
      <w:r xml:space="preserve">
        <w:t> </w:t>
      </w:r>
      <w:r>
        <w:t xml:space="preserve">TAX METHOD.  (a)</w:t>
      </w:r>
      <w:r xml:space="preserve">
        <w:t> </w:t>
      </w:r>
      <w:r xml:space="preserve">
        <w:t> </w:t>
      </w:r>
      <w:r>
        <w:t xml:space="preserve">The district shall use the ad valorem plan of taxation, and taxes levied by the district must be on the ad valorem basis.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hearing on a plan of taxation is not required.</w:t>
      </w:r>
      <w:r xml:space="preserve">
        <w:t> </w:t>
      </w:r>
      <w:r xml:space="preserve">
        <w:t> 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1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9079.0201.</w:t>
      </w:r>
      <w:r xml:space="preserve">
        <w:t> </w:t>
      </w:r>
      <w:r xml:space="preserve">
        <w:t> </w:t>
      </w:r>
      <w:r>
        <w:t xml:space="preserve">AUTHORITY TO ISSUE BONDS.  (a)</w:t>
      </w:r>
      <w:r xml:space="preserve">
        <w:t> </w:t>
      </w:r>
      <w:r xml:space="preserve">
        <w:t> </w:t>
      </w:r>
      <w:r>
        <w:t xml:space="preserve">The district may issue bonds if authorized by a majority of district voters voting at an election held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issue bonds for any purpose permitted to a water control and improvement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2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9079.0202.</w:t>
      </w:r>
      <w:r xml:space="preserve">
        <w:t> </w:t>
      </w:r>
      <w:r xml:space="preserve">
        <w:t> </w:t>
      </w:r>
      <w:r>
        <w:t xml:space="preserve">NOTICE OF BOND ELECTION.</w:t>
      </w:r>
      <w:r xml:space="preserve">
        <w:t> </w:t>
      </w:r>
      <w:r xml:space="preserve">
        <w:t> </w:t>
      </w:r>
      <w:r>
        <w:t xml:space="preserve">Notice of a bond election must be posted at three public places in the district for at least 14 days before the date of the election.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23">
        <w:r>
          <w:rPr>
            <w:rStyle w:val="Hyperlink"/>
          </w:rPr>
          <w:t>4172</w:t>
        </w:r>
      </w:hyperlink>
      <w:r>
        <w:t xml:space="preserve">), Sec. 1.05,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Relationship Type="http://schemas.openxmlformats.org/officeDocument/2006/relationships/hyperlink" Target="http://capitol.texas.gov/tlodocs/86R/billtext/html/HB04172F.HTM" TargetMode="External" Id="rId16" /><Relationship Type="http://schemas.openxmlformats.org/officeDocument/2006/relationships/hyperlink" Target="http://capitol.texas.gov/tlodocs/86R/billtext/html/HB04172F.HTM" TargetMode="External" Id="rId17" /><Relationship Type="http://schemas.openxmlformats.org/officeDocument/2006/relationships/hyperlink" Target="http://capitol.texas.gov/tlodocs/86R/billtext/html/HB04172F.HTM" TargetMode="External" Id="rId18" /><Relationship Type="http://schemas.openxmlformats.org/officeDocument/2006/relationships/hyperlink" Target="http://capitol.texas.gov/tlodocs/86R/billtext/html/HB04172F.HTM" TargetMode="External" Id="rId19" /><Relationship Type="http://schemas.openxmlformats.org/officeDocument/2006/relationships/hyperlink" Target="http://capitol.texas.gov/tlodocs/86R/billtext/html/HB04172F.HTM" TargetMode="External" Id="rId20" /><Relationship Type="http://schemas.openxmlformats.org/officeDocument/2006/relationships/hyperlink" Target="http://capitol.texas.gov/tlodocs/86R/billtext/html/HB04172F.HTM" TargetMode="External" Id="rId21" /><Relationship Type="http://schemas.openxmlformats.org/officeDocument/2006/relationships/hyperlink" Target="http://capitol.texas.gov/tlodocs/86R/billtext/html/HB04172F.HTM" TargetMode="External" Id="rId22" /><Relationship Type="http://schemas.openxmlformats.org/officeDocument/2006/relationships/hyperlink" Target="http://capitol.texas.gov/tlodocs/86R/billtext/html/HB04172F.HTM" TargetMode="External" Id="rId2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