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M.  DEPARTMENT OF MOTOR VEHICLES</w:t>
      </w:r>
    </w:p>
    <w:p w:rsidR="003F3435" w:rsidRDefault="0032493E">
      <w:pPr>
        <w:spacing w:line="480" w:lineRule="auto"/>
        <w:jc w:val="center"/>
      </w:pPr>
      <w:r>
        <w:t xml:space="preserve">CHAPTER 1004.  PUBLIC ACCESS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1004.001.</w:t>
      </w:r>
      <w:r xml:space="preserve">
        <w:t> </w:t>
      </w:r>
      <w:r xml:space="preserve">
        <w:t> </w:t>
      </w:r>
      <w:r>
        <w:t xml:space="preserve">ACCESS TO PROGRAMS AND FACILITIES.  (a)  The department shall prepare and maintain a written plan that describes how a person who does not speak English may be provided reasonable access to the department's programs.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shall comply with federal and state laws for program and facility accessibility.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933 (H.B. </w:t>
      </w:r>
      <w:hyperlink w:docLocation="table" r:id="rId14">
        <w:r>
          <w:rPr>
            <w:rStyle w:val="Hyperlink"/>
          </w:rPr>
          <w:t>3097</w:t>
        </w:r>
      </w:hyperlink>
      <w:r>
        <w:t xml:space="preserve">), Sec. 1.01,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1004.002.</w:t>
      </w:r>
      <w:r xml:space="preserve">
        <w:t> </w:t>
      </w:r>
      <w:r xml:space="preserve">
        <w:t> </w:t>
      </w:r>
      <w:r>
        <w:t xml:space="preserve">PUBLIC COMMENT.  The board and the department shall develop and implement policies that provide the public with a reasonable opportunity to appear before the board or the department and to speak on any issue under the jurisdiction of the board or the department.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933 (H.B. </w:t>
      </w:r>
      <w:hyperlink w:docLocation="table" r:id="rId15">
        <w:r>
          <w:rPr>
            <w:rStyle w:val="Hyperlink"/>
          </w:rPr>
          <w:t>3097</w:t>
        </w:r>
      </w:hyperlink>
      <w:r>
        <w:t xml:space="preserve">), Sec. 1.01,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1004.003.</w:t>
      </w:r>
      <w:r xml:space="preserve">
        <w:t> </w:t>
      </w:r>
      <w:r xml:space="preserve">
        <w:t> </w:t>
      </w:r>
      <w:r>
        <w:t xml:space="preserve">CONFIDENTIALITY OF INFORMATION RELATED TO INVESTIGATIONS.</w:t>
      </w:r>
      <w:r xml:space="preserve">
        <w:t> </w:t>
      </w:r>
      <w:r xml:space="preserve">
        <w:t> </w:t>
      </w:r>
      <w:r>
        <w:t xml:space="preserve">Information obtained during an investigation of a person regulated under Chapter </w:t>
      </w:r>
      <w:r>
        <w:t xml:space="preserve">2301</w:t>
      </w:r>
      <w:r>
        <w:t xml:space="preserve"> or </w:t>
      </w:r>
      <w:r>
        <w:t xml:space="preserve">2302</w:t>
      </w:r>
      <w:r>
        <w:t xml:space="preserve">, Occupations Code, or Chapter </w:t>
      </w:r>
      <w:r>
        <w:t xml:space="preserve">503</w:t>
      </w:r>
      <w:r>
        <w:t xml:space="preserve"> or 643 of this code is confidential and not subject to disclosure under Chapter </w:t>
      </w:r>
      <w:r>
        <w:t xml:space="preserve">552</w:t>
      </w:r>
      <w:r>
        <w:t xml:space="preserve">, Government Code, until the investigation is dismissed or finally resolved only if the disclosure of that information would interfere with or jeopardize the investigation.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594 (S.B. </w:t>
      </w:r>
      <w:hyperlink w:docLocation="table" r:id="rId16">
        <w:r>
          <w:rPr>
            <w:rStyle w:val="Hyperlink"/>
          </w:rPr>
          <w:t>604</w:t>
        </w:r>
      </w:hyperlink>
      <w:r>
        <w:t xml:space="preserve">), Sec. 1.07,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3097F.HTM" TargetMode="External" Id="rId14" /><Relationship Type="http://schemas.openxmlformats.org/officeDocument/2006/relationships/hyperlink" Target="http://capitol.texas.gov/tlodocs/81R/billtext/html/HB03097F.HTM" TargetMode="External" Id="rId15" /><Relationship Type="http://schemas.openxmlformats.org/officeDocument/2006/relationships/hyperlink" Target="http://capitol.texas.gov/tlodocs/86R/billtext/html/SB00604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