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M.  DEPARTMENT OF MOTOR VEHICLES</w:t>
      </w:r>
    </w:p>
    <w:p w:rsidR="003F3435" w:rsidRDefault="0032493E">
      <w:pPr>
        <w:spacing w:line="480" w:lineRule="auto"/>
        <w:jc w:val="center"/>
      </w:pPr>
      <w:r>
        <w:t xml:space="preserve">CHAPTER 1005.  STANDARDS OF CONDUCT</w:t>
      </w:r>
    </w:p>
    <w:p w:rsidR="003F3435" w:rsidRDefault="0032493E">
      <w:pPr>
        <w:spacing w:line="480" w:lineRule="auto"/>
        <w:jc w:val="both"/>
      </w:pPr>
    </w:p>
    <w:p w:rsidR="003F3435" w:rsidRDefault="0032493E">
      <w:pPr>
        <w:spacing w:line="480" w:lineRule="auto"/>
        <w:ind w:firstLine="720"/>
        <w:jc w:val="both"/>
      </w:pPr>
      <w:r>
        <w:t xml:space="preserve">Sec. 1005.001.</w:t>
      </w:r>
      <w:r xml:space="preserve">
        <w:t> </w:t>
      </w:r>
      <w:r xml:space="preserve">
        <w:t> </w:t>
      </w:r>
      <w:r>
        <w:t xml:space="preserve">APPLICATION OF LAW RELATING TO ETHICAL CONDUCT.  The board, the executive director, and each employee or agent of the department is subject to the code of ethics and the standard of conduct imposed by Chapter </w:t>
      </w:r>
      <w:r>
        <w:t xml:space="preserve">572</w:t>
      </w:r>
      <w:r>
        <w:t xml:space="preserve">, Government Code, and any other law regulating the ethical conduct of state officers and employees.</w:t>
      </w:r>
    </w:p>
    <w:p w:rsidR="003F3435" w:rsidRDefault="0032493E">
      <w:pPr>
        <w:spacing w:line="480" w:lineRule="auto"/>
        <w:jc w:val="both"/>
      </w:pPr>
      <w:r>
        <w:t xml:space="preserve">Added by Acts 2009, 81st Leg., R.S., Ch. 933 (H.B. </w:t>
      </w:r>
      <w:hyperlink w:docLocation="table" r:id="rId14">
        <w:r>
          <w:rPr>
            <w:rStyle w:val="Hyperlink"/>
          </w:rPr>
          <w:t>3097</w:t>
        </w:r>
      </w:hyperlink>
      <w:r>
        <w:t xml:space="preserve">), Sec. 1.01,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