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2. GENERAL PROVISIONS RELATING TO CARRIERS</w:t>
      </w:r>
    </w:p>
    <w:p w:rsidR="003F3435" w:rsidRDefault="0032493E">
      <w:pPr>
        <w:spacing w:line="480" w:lineRule="auto"/>
        <w:jc w:val="center"/>
      </w:pPr>
      <w:r>
        <w:t xml:space="preserve">CHAPTER 20.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20.001.</w:t>
      </w:r>
      <w:r xml:space="preserve">
        <w:t> </w:t>
      </w:r>
      <w:r xml:space="preserve">
        <w:t> </w:t>
      </w:r>
      <w:r>
        <w:t xml:space="preserve">CERTAIN CARRIERS EXEMPT FROM GROSS RECEIPTS TAXES.  A motor bus carrier or motor carrier transporting persons or property for hire is exempt from any occupation tax measured by gross receipts imposed by any law of this state.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30.02(b),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20.002.</w:t>
      </w:r>
      <w:r xml:space="preserve">
        <w:t> </w:t>
      </w:r>
      <w:r xml:space="preserve">
        <w:t> </w:t>
      </w:r>
      <w:r>
        <w:t xml:space="preserve">SCHOOL FUND BENEFIT FEE ON DIESEL FUEL USED BY CERTAIN MOTOR VEHICLES.  (a)  In this section, "commercial motor vehicle" has the meaning assigned by Section </w:t>
      </w:r>
      <w:r>
        <w:t xml:space="preserve">548.001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applies to a person, other than a political subdivision,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owns, controls, operates, or manages a commercial motor vehicle;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exempt from the state diesel fuel tax under Section </w:t>
      </w:r>
      <w:r>
        <w:t xml:space="preserve">162.204</w:t>
      </w:r>
      <w:r>
        <w:t xml:space="preserve">, Tax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fee to benefit the available school fund is imposed on a person for the use of diesel fuel that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delivered exclusively into the fuel supply tank of a commercial motor vehicle;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used exclusively to transport passengers for compensation or hire between points in this state on a fixed route or schedule.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fee imposed by this section is equal to 25 percent of the diesel fuel tax rate imposed under Section </w:t>
      </w:r>
      <w:r>
        <w:t xml:space="preserve">162.202</w:t>
      </w:r>
      <w:r>
        <w:t xml:space="preserve">, Tax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comptroller shall prescribe the method for collecting a fee imposed under this section and shall deposit revenue received from the fee to the credit of the available school fund.</w:t>
      </w:r>
    </w:p>
    <w:p w:rsidR="003F3435" w:rsidRDefault="0032493E">
      <w:pPr>
        <w:spacing w:line="480" w:lineRule="auto"/>
        <w:jc w:val="both"/>
      </w:pPr>
      <w:r>
        <w:t xml:space="preserve">Added by Acts 1999, 76th Leg., ch. 1054, Sec. 3,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1227 (S.B. </w:t>
      </w:r>
      <w:hyperlink w:docLocation="table" r:id="rId14">
        <w:r>
          <w:rPr>
            <w:rStyle w:val="Hyperlink"/>
          </w:rPr>
          <w:t>1495</w:t>
        </w:r>
      </w:hyperlink>
      <w:r>
        <w:t xml:space="preserve">), Sec. 39,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495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