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TRANSPORTATION CODE</w:t>
      </w:r>
    </w:p>
    <w:p w:rsidR="003F3435" w:rsidRDefault="0032493E">
      <w:pPr>
        <w:spacing w:line="480" w:lineRule="auto"/>
        <w:jc w:val="center"/>
      </w:pPr>
      <w:r>
        <w:t xml:space="preserve">TITLE 6. ROADWAYS</w:t>
      </w:r>
    </w:p>
    <w:p w:rsidR="003F3435" w:rsidRDefault="0032493E">
      <w:pPr>
        <w:spacing w:line="480" w:lineRule="auto"/>
        <w:jc w:val="center"/>
      </w:pPr>
      <w:r>
        <w:t xml:space="preserve">SUBTITLE B. STATE HIGHWAY SYSTEM</w:t>
      </w:r>
    </w:p>
    <w:p w:rsidR="003F3435" w:rsidRDefault="0032493E">
      <w:pPr>
        <w:spacing w:line="480" w:lineRule="auto"/>
        <w:jc w:val="center"/>
      </w:pPr>
      <w:r>
        <w:t xml:space="preserve">CHAPTER 250. MISCELLANEOUS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250.001.</w:t>
      </w:r>
      <w:r xml:space="preserve">
        <w:t> </w:t>
      </w:r>
      <w:r xml:space="preserve">
        <w:t> </w:t>
      </w:r>
      <w:r>
        <w:t xml:space="preserve">RESTRICTION ON FENCES IN CERTAIN MUNICIPALITIES.  (a)  This section applies only to a fence located on land adjacent to a road or highway in the state highway system in a municipality with a population of 1.5 million or more.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 may regulate the use of a fence near a road or highway that prevents or obstructs a vehicle from observing other vehicles or traffic in a manner that creates a safety hazard.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rules may provide for: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setback, height, or visibility requirements for fences;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delayed enforcement of not more than 120 days from the regulations for existing fences that do not comply with current standards;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any other provision necessary to prevent an unsafe obstruction to the view of traffic on a road or highway.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failure of the commission to regulate a fence under this section is not admissible as evidence in a civil action that involves allegations that a fence prevents or obstructs a vehicle from observing other vehicles or traffic.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A person commits an offense if the person intentionally violates a rule adopted by the commission under this section.  An offense under this section is a misdemeanor punishable by a fine of not less than $500 or more than $1,000. Each day of a rule violation is a separate offense.</w:t>
      </w:r>
    </w:p>
    <w:p w:rsidR="003F3435" w:rsidRDefault="0032493E">
      <w:pPr>
        <w:spacing w:line="480" w:lineRule="auto"/>
        <w:jc w:val="both"/>
      </w:pPr>
      <w:r>
        <w:t xml:space="preserve">Added by Acts 1997, 75th Leg., ch. 1224, Sec. 1, eff. June 20,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250.002.</w:t>
      </w:r>
      <w:r xml:space="preserve">
        <w:t> </w:t>
      </w:r>
      <w:r xml:space="preserve">
        <w:t> </w:t>
      </w:r>
      <w:r>
        <w:t xml:space="preserve">RIGHT-OF-WAY ACCOMMODATION FOR BROADBAND-ONLY PROVIDERS.  (a)</w:t>
      </w:r>
      <w:r xml:space="preserve">
        <w:t> </w:t>
      </w:r>
      <w:r xml:space="preserve">
        <w:t> </w:t>
      </w:r>
      <w:r>
        <w:t xml:space="preserve">In this section: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"Broadband-only provider" means an entity that exclusively provides broadband service.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"Broadband service" means Internet service with the capability of providing: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download speed of 25 megabits per second or faster;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upload speed of three megabits per second or faster.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 by rule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on a competitively and technologically neutral and nondiscriminatory basis with respect to other providers of broadband service, establish an accommodation process that authorizes broadband-only providers to use state highway rights-of-way, subject to highway purposes, for: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new broadband facility installations;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additions to or maintenance of existing broadband facility installations;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adjustments or relocations of broadband facilities;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existing broadband facilities retained within the rights-of-way;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prescribe minimum requirements for the accommodation, method, materials, and location for the installation, adjustment, and maintenance of broadband facilities under the accommodation process.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571 (S.B. </w:t>
      </w:r>
      <w:hyperlink w:docLocation="table" r:id="rId14">
        <w:r>
          <w:rPr>
            <w:rStyle w:val="Hyperlink"/>
          </w:rPr>
          <w:t>507</w:t>
        </w:r>
      </w:hyperlink>
      <w:r>
        <w:t xml:space="preserve">), Sec. 1, eff. June 14, 2021.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7R/billtext/html/SB00507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