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6. ROADWAYS</w:t>
      </w:r>
    </w:p>
    <w:p w:rsidR="003F3435" w:rsidRDefault="0032493E">
      <w:pPr>
        <w:spacing w:line="480" w:lineRule="auto"/>
        <w:jc w:val="center"/>
      </w:pPr>
      <w:r>
        <w:t xml:space="preserve">SUBTITLE H. HIGHWAY BEAUTIFICATION</w:t>
      </w:r>
    </w:p>
    <w:p w:rsidR="003F3435" w:rsidRDefault="0032493E">
      <w:pPr>
        <w:spacing w:line="480" w:lineRule="auto"/>
        <w:jc w:val="center"/>
      </w:pPr>
      <w:r>
        <w:t xml:space="preserve">CHAPTER 395. OUTDOOR SIGNS AND MOTORIST INFORMATION PANELS ON TOLL ROADS IN CERTAIN COUNTIES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REGULATION OF OUTDOOR SIGNS BY TOLL ROAD AUTHORITY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395.001.</w:t>
      </w:r>
      <w:r xml:space="preserve">
        <w:t> </w:t>
      </w:r>
      <w:r xml:space="preserve">
        <w:t> </w:t>
      </w:r>
      <w:r>
        <w:t xml:space="preserve">APPLICATION OF SUBCHAPTER.  (a)  This subchapter applies only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governing body of a toll road authority: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in which a county with a population of 3.3 million or more is located;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is adjacent to a county with a population of 3.3 million or more and in which a municipality with a population of more than 60,000 is located;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outdoor sign.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Chapter </w:t>
      </w:r>
      <w:r>
        <w:t xml:space="preserve">393</w:t>
      </w:r>
      <w:r>
        <w:t xml:space="preserve"> does not apply to the placement of a sign to which this subchapter applies.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281 (H.B. </w:t>
      </w:r>
      <w:hyperlink w:docLocation="table" r:id="rId14">
        <w:r>
          <w:rPr>
            <w:rStyle w:val="Hyperlink"/>
          </w:rPr>
          <w:t>2702</w:t>
        </w:r>
      </w:hyperlink>
      <w:r>
        <w:t xml:space="preserve">), Sec. 2.79, eff. June 14,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395.002.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"Governing body" includes only the governing body of a toll road authority.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"Sign" means a display, light, device, figure, painting, drawing, message, plaque, poster, or other thing designed or used to advertise or inform.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395.003.</w:t>
      </w:r>
      <w:r xml:space="preserve">
        <w:t> </w:t>
      </w:r>
      <w:r xml:space="preserve">
        <w:t> </w:t>
      </w:r>
      <w:r>
        <w:t xml:space="preserve">REGULATION OF SIGNS.  The governing body of a toll road authority may adopt rules to license, regulate, or prohibit the placement of a sign visible from the main-traveled way of a toll road in the authority and erected for the purpose of having the message seen from the main-traveled way if the authority determines the rules are necessary to restore, preserve, or enhance the scenic beauty of the property within view of the road.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395.004.</w:t>
      </w:r>
      <w:r xml:space="preserve">
        <w:t> </w:t>
      </w:r>
      <w:r xml:space="preserve">
        <w:t> </w:t>
      </w:r>
      <w:r>
        <w:t xml:space="preserve">MUNICIPAL ORDINANCES.  (a)  If the governing body adopts a rule under this subchapter that applies to a sign on property located in the territory of a municipality that has adopted an ordinance regulating the placement of a sign on the property, the rule must be at least as stringent as the ordinance.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subchapter does not affect the authority of a municipality to adopt an ordinance regulating the placement of a sign within the view of a toll road located in the territory of the municipality.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395.005.</w:t>
      </w:r>
      <w:r xml:space="preserve">
        <w:t> </w:t>
      </w:r>
      <w:r xml:space="preserve">
        <w:t> </w:t>
      </w:r>
      <w:r>
        <w:t xml:space="preserve">COMPENSATION FOR SIGNS.  (a)  If the governing body requires the removal of a sign: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owner of the sign is entitled to compensation for the cash value for the tangible physical property constituting the sign structure;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owner of the real property on which the sign is located is entitled to compensation for the decrease in the value of the real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Compensation under this section is determined under the standards and procedures applicable to a proceeding under Chapter </w:t>
      </w:r>
      <w:r>
        <w:t xml:space="preserve">21</w:t>
      </w:r>
      <w:r>
        <w:t xml:space="preserve">, Property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governing body may use only a method or a combination of methods described by this subchapter to pay compensation.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395.006.</w:t>
      </w:r>
      <w:r xml:space="preserve">
        <w:t> </w:t>
      </w:r>
      <w:r xml:space="preserve">
        <w:t> </w:t>
      </w:r>
      <w:r>
        <w:t xml:space="preserve">TAX ABATEMENT.  (a)  The governing body, with the approval of the commissioners court and in accordance with Chapter </w:t>
      </w:r>
      <w:r>
        <w:t xml:space="preserve">312</w:t>
      </w:r>
      <w:r>
        <w:t xml:space="preserve">, Tax Code, may abate county property taxes owed by the owner of a sign to be removed.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governing body may declare an area to be a reinvestment zone for the purpose of abating property taxes under this section if the area encompasses a sign to be removed.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governing body may abate taxes on any real or personal property in the county that is owned by the owner of the sign, except residential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holder of a right of tax abatement may assign the right.  An assignee may use the right of tax abatement on any nonresidential property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In a county in which tax abatement is used to pay compensation under this subchapter, the compensation must include reasonable interest.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tax abatement period may not exceed five years.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395.007.</w:t>
      </w:r>
      <w:r xml:space="preserve">
        <w:t> </w:t>
      </w:r>
      <w:r xml:space="preserve">
        <w:t> </w:t>
      </w:r>
      <w:r>
        <w:t xml:space="preserve">SIGN ABATEMENT AND BEAUTIFICATION FUND.  (a)  The governing body may deposit all or part of the county property tax paid on a sign, on the real property on which a sign is located, or on other real or personal property owned by the owner of a sign to the credit of a sign abatement and community beautification fund in the county treasury.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governing body may use money in the fund to compensate the owner of a sign required to be removed under this subchapter.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395.008.</w:t>
      </w:r>
      <w:r xml:space="preserve">
        <w:t> </w:t>
      </w:r>
      <w:r xml:space="preserve">
        <w:t> </w:t>
      </w:r>
      <w:r>
        <w:t xml:space="preserve">SIGN ABATEMENT REVENUE BONDS.  (a)  The governing body may issue sign abatement revenue bonds.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governing body may use the proceeds from the bonds only to compensate the owner of a sign required to be removed under this subchapter.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395.009.</w:t>
      </w:r>
      <w:r xml:space="preserve">
        <w:t> </w:t>
      </w:r>
      <w:r xml:space="preserve">
        <w:t> </w:t>
      </w:r>
      <w:r>
        <w:t xml:space="preserve">CASH.  The governing body may pay compensation in cash.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395.010.</w:t>
      </w:r>
      <w:r xml:space="preserve">
        <w:t> </w:t>
      </w:r>
      <w:r xml:space="preserve">
        <w:t> </w:t>
      </w:r>
      <w:r>
        <w:t xml:space="preserve">PENALTY.  (a)  A person commits an offense if the person violates a rule adopted under this subchapter that defines an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TOLL ROAD INFORMATIONAL SIGNS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395.051.</w:t>
      </w:r>
      <w:r xml:space="preserve">
        <w:t> </w:t>
      </w:r>
      <w:r xml:space="preserve">
        <w:t> </w:t>
      </w:r>
      <w:r>
        <w:t xml:space="preserve">APPLICATION OF SUBCHAPTER.  (a)  This subchapter applies only to a county with a population of more than 3.3 million or a county adjacent to a county with a population of more than 3.3 million in which a municipality with a population of more than 60,000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Chapter </w:t>
      </w:r>
      <w:r>
        <w:t xml:space="preserve">393</w:t>
      </w:r>
      <w:r>
        <w:t xml:space="preserve"> does not apply to the placement of a panel or sign to which this subchapter applies.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2001, 77th Leg., ch. 669, Sec. 136, eff. Sept. 1, 2001.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281 (H.B. </w:t>
      </w:r>
      <w:hyperlink w:docLocation="table" r:id="rId15">
        <w:r>
          <w:rPr>
            <w:rStyle w:val="Hyperlink"/>
          </w:rPr>
          <w:t>2702</w:t>
        </w:r>
      </w:hyperlink>
      <w:r>
        <w:t xml:space="preserve">), Sec. 2.80, eff. June 14,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395.052.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"Business sign" means a sign that contains the brand, trademark, name, or logo of a qualified business.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"Motorist information panel" means a rectangular panel placed on a highway that contains at least one business sign advertising a business available within a certain distance of that interchange.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"Qualified business" means a business that meets the requirements of rules adopted by the commissioners court of a county under this subchapter.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395.053.</w:t>
      </w:r>
      <w:r xml:space="preserve">
        <w:t> </w:t>
      </w:r>
      <w:r xml:space="preserve">
        <w:t> </w:t>
      </w:r>
      <w:r>
        <w:t xml:space="preserve">ERECTION OF MOTORIST INFORMATION PANELS.  (a)  Except as provided by Subsection (b), the commissioners court of a county by order may erect and maintain motorist information panels in a right-of-way along a toll road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court may not erect a motorist information panel in an area that does not have a qualified business.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county must erect each panel on and below the exit identification sign preceding the exit direction sign at an interchange.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county may erect more than one panel for each interchange.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395.054.</w:t>
      </w:r>
      <w:r xml:space="preserve">
        <w:t> </w:t>
      </w:r>
      <w:r xml:space="preserve">
        <w:t> </w:t>
      </w:r>
      <w:r>
        <w:t xml:space="preserve">REGULATION OF BUSINESS SIGNS.  (a)  The commissioners court may adopt orders for administration of this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court by order shall provide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spacing requirements between signs;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height and face restrictions for the total panel area;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size and face restrictions for each business sign on a motorist information panel.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395.055.</w:t>
      </w:r>
      <w:r xml:space="preserve">
        <w:t> </w:t>
      </w:r>
      <w:r xml:space="preserve">
        <w:t> </w:t>
      </w:r>
      <w:r>
        <w:t xml:space="preserve">APPLICATION FOR BUSINESS SIGN ON PANEL.  (a)  The commissioners court by order shall specify: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time and manner of applying for a business sign on a motorist information panel;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form of and required information for an application;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reasonable annual fee for each business sign on the panel.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advertise on a motorist information panel, a person must apply to the commissioners court.  The person shall comply with each order adopted by the commissioners court regarding business signs.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395.056.</w:t>
      </w:r>
      <w:r xml:space="preserve">
        <w:t> </w:t>
      </w:r>
      <w:r xml:space="preserve">
        <w:t> </w:t>
      </w:r>
      <w:r>
        <w:t xml:space="preserve">ACCOUNT.  (a)  The commissioners court shall deposit money received under this subchapter to the credit of an account in the county general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court may use money in the account only to erect, maintain, or regulate motorist information panels.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395.057.</w:t>
      </w:r>
      <w:r xml:space="preserve">
        <w:t> </w:t>
      </w:r>
      <w:r xml:space="preserve">
        <w:t> </w:t>
      </w:r>
      <w:r>
        <w:t xml:space="preserve">REGULATION BY TOLL ROAD AUTHORITY.  A toll road authority may not regulate a motorist information panel or business sign erected, maintained, or regulated under this subchapter.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395.058.</w:t>
      </w:r>
      <w:r xml:space="preserve">
        <w:t> </w:t>
      </w:r>
      <w:r xml:space="preserve">
        <w:t> </w:t>
      </w:r>
      <w:r>
        <w:t xml:space="preserve">CONFLICT WITH MUNICIPAL ORDINANCE.  (a)  This subchapter does not authorize a commissioners court to issue an order or regulation that conflicts with a municipal ordinance pertaining to billboards or outdoor advertising.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order or regulation issued under this subchapter that conflicts with a municipal ordinance is void.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702F.HTM" TargetMode="External" Id="rId14" /><Relationship Type="http://schemas.openxmlformats.org/officeDocument/2006/relationships/hyperlink" Target="http://capitol.texas.gov/tlodocs/79R/billtext/html/HB02702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