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6. ROADWAYS</w:t>
      </w:r>
    </w:p>
    <w:p w:rsidR="003F3435" w:rsidRDefault="0032493E">
      <w:pPr>
        <w:spacing w:line="480" w:lineRule="auto"/>
        <w:jc w:val="center"/>
      </w:pPr>
      <w:r>
        <w:t xml:space="preserve">SUBTITLE H. HIGHWAY BEAUTIFICATION</w:t>
      </w:r>
    </w:p>
    <w:p w:rsidR="003F3435" w:rsidRDefault="0032493E">
      <w:pPr>
        <w:spacing w:line="480" w:lineRule="auto"/>
        <w:jc w:val="center"/>
      </w:pPr>
      <w:r>
        <w:t xml:space="preserve">CHAPTER 430.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430.001.</w:t>
      </w:r>
      <w:r xml:space="preserve">
        <w:t> </w:t>
      </w:r>
      <w:r xml:space="preserve">
        <w:t> </w:t>
      </w:r>
      <w:r>
        <w:t xml:space="preserve">ADVISORY SAFETY OR DIRECTIONAL SIGNS.  (a)  A political subdivision may place along a public right-of-way under the control of the political subdivision an advisory safety or useful directional sign that cannot be mistaken as an official sign.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political subdivision may not place the sign along a state highway for revenue purposes.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430.002.</w:t>
      </w:r>
      <w:r xml:space="preserve">
        <w:t> </w:t>
      </w:r>
      <w:r xml:space="preserve">
        <w:t> </w:t>
      </w:r>
      <w:r>
        <w:t xml:space="preserve">SIGNS ERECTED BY NEIGHBORHOOD ASSOCIATION.  (a)</w:t>
      </w:r>
      <w:r xml:space="preserve">
        <w:t> </w:t>
      </w:r>
      <w:r xml:space="preserve">
        <w:t> </w:t>
      </w:r>
      <w:r>
        <w:t xml:space="preserve">In this section, "property owners' association" means an association described by Section </w:t>
      </w:r>
      <w:r>
        <w:t xml:space="preserve">204.004</w:t>
      </w:r>
      <w:r>
        <w:t xml:space="preserve">, Property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property owners' association may install a speed feedback sign or a solar-powered light-emitting diode (LED) stop sign on a road, highway, or street in the association's jurisdiction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association receives the consent of the governing body of the political subdivision that maintains the road, highway, or street for the placement of the sign;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association pays for the installation of the sign.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property owners' association that installs a sign under this section is responsible for the maintenance of the sign.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765 (H.B. </w:t>
      </w:r>
      <w:hyperlink w:docLocation="table" r:id="rId14">
        <w:r>
          <w:rPr>
            <w:rStyle w:val="Hyperlink"/>
          </w:rPr>
          <w:t>1737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376 (H.B. </w:t>
      </w:r>
      <w:hyperlink w:docLocation="table" r:id="rId15">
        <w:r>
          <w:rPr>
            <w:rStyle w:val="Hyperlink"/>
          </w:rPr>
          <w:t>745</w:t>
        </w:r>
      </w:hyperlink>
      <w:r>
        <w:t xml:space="preserve">), Sec. 1, eff. June 10,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1737F.HTM" TargetMode="External" Id="rId14" /><Relationship Type="http://schemas.openxmlformats.org/officeDocument/2006/relationships/hyperlink" Target="http://capitol.texas.gov/tlodocs/84R/billtext/html/HB0074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