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F. COMMERCIAL MOTOR VEHICLES</w:t>
      </w:r>
    </w:p>
    <w:p w:rsidR="003F3435" w:rsidRDefault="0032493E">
      <w:pPr>
        <w:spacing w:line="480" w:lineRule="auto"/>
        <w:jc w:val="center"/>
      </w:pPr>
      <w:r>
        <w:t xml:space="preserve">CHAPTER 644A.  MOTOR CARRIER SAFETY IMPROVEMENT:  EMPLOYMENT STATUS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644A.001.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"Motor carrier" has the meaning assigned by Section </w:t>
      </w:r>
      <w:r>
        <w:t xml:space="preserve">643.001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"Motor carrier safety improvement" means any: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device, equipment, software, or technology that is intended and primarily used to improve or facilitate: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compliance with traffic safety or motor carrier safety laws;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safety of a motor vehicle;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safety of an operator of a motor vehicle;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safety of third-party users of public roadways;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procedure, training, policy, program, or operational practice related to any device, equipment, software, or technology described by Paragraph (A).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1034 (S.B. </w:t>
      </w:r>
      <w:hyperlink w:docLocation="table" r:id="rId14">
        <w:r>
          <w:rPr>
            <w:rStyle w:val="Hyperlink"/>
          </w:rPr>
          <w:t>2807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644A.002.</w:t>
      </w:r>
      <w:r xml:space="preserve">
        <w:t> </w:t>
      </w:r>
      <w:r xml:space="preserve">
        <w:t> </w:t>
      </w:r>
      <w:r>
        <w:t xml:space="preserve">EMPLOYMENT STATUS.</w:t>
      </w:r>
      <w:r xml:space="preserve">
        <w:t> </w:t>
      </w:r>
      <w:r xml:space="preserve">
        <w:t> </w:t>
      </w:r>
      <w:r>
        <w:t xml:space="preserve">The deployment, implementation, or use of a motor carrier safety improvement by or as required by a motor carrier or a related entity, including through contract, may not be considered when determining whether the operator of a motor vehicle is an employee or joint employee of the motor carrier or an independent contractor for purposes of state law.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1034 (S.B. </w:t>
      </w:r>
      <w:hyperlink w:docLocation="table" r:id="rId15">
        <w:r>
          <w:rPr>
            <w:rStyle w:val="Hyperlink"/>
          </w:rPr>
          <w:t>2807</w:t>
        </w:r>
      </w:hyperlink>
      <w:r>
        <w:t xml:space="preserve">), Sec. 2,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2807F.HTM" TargetMode="External" Id="rId14" /><Relationship Type="http://schemas.openxmlformats.org/officeDocument/2006/relationships/hyperlink" Target="http://capitol.texas.gov/tlodocs/89R/billtext/html/SB02807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