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F. COMMERCIAL MOTOR VEHICLES</w:t>
      </w:r>
    </w:p>
    <w:p w:rsidR="003F3435" w:rsidRDefault="0032493E">
      <w:pPr>
        <w:spacing w:line="480" w:lineRule="auto"/>
        <w:jc w:val="center"/>
      </w:pPr>
      <w:r>
        <w:t xml:space="preserve">CHAPTER 646. MOTOR TRANSPORTATION BROKERS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Texas Department of Motor Vehicles.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 transportation broker" means a person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sells, offers for sale, provides, or negotiates for the transportation of cargo by a motor carrier operated by another person;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aids or abets a person in performing an act described by Paragraph (A).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30.153(a),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1287 (H.B. </w:t>
      </w:r>
      <w:hyperlink w:docLocation="table" r:id="rId14">
        <w:r>
          <w:rPr>
            <w:rStyle w:val="Hyperlink"/>
          </w:rPr>
          <w:t>2202</w:t>
        </w:r>
      </w:hyperlink>
      <w:r>
        <w:t xml:space="preserve">), Sec. 64,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646.002.</w:t>
      </w:r>
      <w:r xml:space="preserve">
        <w:t> </w:t>
      </w:r>
      <w:r xml:space="preserve">
        <w:t> </w:t>
      </w:r>
      <w:r>
        <w:t xml:space="preserve">EXCEPTION.  This chapter does not apply to a motor transportation broker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registered as a motor carrier under Chapter </w:t>
      </w:r>
      <w:r>
        <w:t xml:space="preserve">643</w:t>
      </w:r>
      <w:r>
        <w:t xml:space="preserve">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holds a permit issued under Subtitle IV, Title 49, United States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30.153(a),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646.003.</w:t>
      </w:r>
      <w:r xml:space="preserve">
        <w:t> </w:t>
      </w:r>
      <w:r xml:space="preserve">
        <w:t> </w:t>
      </w:r>
      <w:r>
        <w:t xml:space="preserve">BOND REQUIRED.  (a)</w:t>
      </w:r>
      <w:r xml:space="preserve">
        <w:t> </w:t>
      </w:r>
      <w:r xml:space="preserve">
        <w:t> </w:t>
      </w:r>
      <w:r>
        <w:t xml:space="preserve">A person may not act as a motor transportation broker unless the person provides a bond to the department.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bond must be in an amount of at least $10,000 and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executed by a bonding company authorized to do business in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payable to this state or a person to whom the motor transportation broker provides services;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conditioned on the performance of the contract for transportation services between the broker and the person for whom services are provided.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department may charge the broker a bond review fee in an amount not to exceed the cost of reviewing the bond.</w:t>
      </w:r>
      <w:r xml:space="preserve">
        <w:t> </w:t>
      </w:r>
      <w:r xml:space="preserve">
        <w:t> </w:t>
      </w:r>
      <w:r>
        <w:t xml:space="preserve">The department shall deposit a fee collected under this subsection to the credit of the Texas Department of Motor Vehicles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department may adopt rules regarding the method of payment of a fee under this chapter.  The rules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authorize the use of electronic funds transfer or a credit card issued by a financial institution chartered by a state or the United States or by a nationally recognized credit organization approved by the department;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require the payment of a discount or service charge for a credit card payment in addition to the fee.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30.153(a),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933 (H.B. </w:t>
      </w:r>
      <w:hyperlink w:docLocation="table" r:id="rId15">
        <w:r>
          <w:rPr>
            <w:rStyle w:val="Hyperlink"/>
          </w:rPr>
          <w:t>3097</w:t>
        </w:r>
      </w:hyperlink>
      <w:r>
        <w:t xml:space="preserve">), Sec. 2N.01,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1287 (H.B. </w:t>
      </w:r>
      <w:hyperlink w:docLocation="table" r:id="rId16">
        <w:r>
          <w:rPr>
            <w:rStyle w:val="Hyperlink"/>
          </w:rPr>
          <w:t>2202</w:t>
        </w:r>
      </w:hyperlink>
      <w:r>
        <w:t xml:space="preserve">), Sec. 65,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646.004.</w:t>
      </w:r>
      <w:r xml:space="preserve">
        <w:t> </w:t>
      </w:r>
      <w:r xml:space="preserve">
        <w:t> </w:t>
      </w:r>
      <w:r>
        <w:t xml:space="preserve">CRIMINAL OFFENSE.  (a)  A person commits an offense if the person fails to provide the bond required by Section </w:t>
      </w:r>
      <w:r>
        <w:t xml:space="preserve">646.003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30.153(a),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2202F.HTM" TargetMode="External" Id="rId14" /><Relationship Type="http://schemas.openxmlformats.org/officeDocument/2006/relationships/hyperlink" Target="http://capitol.texas.gov/tlodocs/81R/billtext/html/HB03097F.HTM" TargetMode="External" Id="rId15" /><Relationship Type="http://schemas.openxmlformats.org/officeDocument/2006/relationships/hyperlink" Target="http://capitol.texas.gov/tlodocs/83R/billtext/html/HB02202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