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7. VEHICLES AND TRAFFIC</w:t>
      </w:r>
    </w:p>
    <w:p w:rsidR="003F3435" w:rsidRDefault="0032493E">
      <w:pPr>
        <w:spacing w:line="480" w:lineRule="auto"/>
        <w:jc w:val="center"/>
      </w:pPr>
      <w:r>
        <w:t xml:space="preserve">SUBTITLE G. MOTORCYCLES AND ELECTRIC BICYCLES</w:t>
      </w:r>
    </w:p>
    <w:p w:rsidR="003F3435" w:rsidRDefault="0032493E">
      <w:pPr>
        <w:spacing w:line="480" w:lineRule="auto"/>
        <w:jc w:val="center"/>
      </w:pPr>
      <w:r>
        <w:t xml:space="preserve">CHAPTER 680. MISCELLANEOUS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SALE OF MOTORCYCLE WITHOUT SERIAL NUMBERS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680.001.</w:t>
      </w:r>
      <w:r xml:space="preserve">
        <w:t> </w:t>
      </w:r>
      <w:r xml:space="preserve">
        <w:t> </w:t>
      </w:r>
      <w:r>
        <w:t xml:space="preserve">DEFINITIONS.  In this subchapter: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"Department" means the Department of Public Safety.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"Motorcycle" has the meaning assigned that term by Section </w:t>
      </w:r>
      <w:r>
        <w:t xml:space="preserve">661.001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"Person" means an individual, partnership, firm, corporation, association, or other private entity.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680.002.</w:t>
      </w:r>
      <w:r xml:space="preserve">
        <w:t> </w:t>
      </w:r>
      <w:r xml:space="preserve">
        <w:t> </w:t>
      </w:r>
      <w:r>
        <w:t xml:space="preserve">SALE OF MOTORCYCLE WITHOUT SERIAL NUMBERS.  A person may not sell a motorcycle manufactured after January 1, 1976, unless: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serial number of the frame and the serial number of the engine are affixed so that they may not be removed without defacing the frame or engine;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manufacturer has filed with the department a statement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identifies the part to which each number is affixed;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gives the exact dimensions of the part;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gives the location on the part to which the number is affixed.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680.003.</w:t>
      </w:r>
      <w:r xml:space="preserve">
        <w:t> </w:t>
      </w:r>
      <w:r xml:space="preserve">
        <w:t> </w:t>
      </w:r>
      <w:r>
        <w:t xml:space="preserve">OFFENSE;  PENALTY.  (a)  An individual who violates Section </w:t>
      </w:r>
      <w:r>
        <w:t xml:space="preserve">680.002</w:t>
      </w:r>
      <w:r>
        <w:t xml:space="preserve"> commits an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misdemeanor punishable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fine not to exceed $200;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confinement in county jail for a term not to exceed 30 days;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both the fine and confinement.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Each sale of a motorcycle in violation of this subchapter is a separate offense.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680.004.</w:t>
      </w:r>
      <w:r xml:space="preserve">
        <w:t> </w:t>
      </w:r>
      <w:r xml:space="preserve">
        <w:t> </w:t>
      </w:r>
      <w:r>
        <w:t xml:space="preserve">CIVIL PENALTY.  A partnership, firm, corporation, or association that violates Section </w:t>
      </w:r>
      <w:r>
        <w:t xml:space="preserve">680.002</w:t>
      </w:r>
      <w:r>
        <w:t xml:space="preserve"> is liable to the state for a civil penalty of not more than $500 for each offense.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680.005.</w:t>
      </w:r>
      <w:r xml:space="preserve">
        <w:t> </w:t>
      </w:r>
      <w:r xml:space="preserve">
        <w:t> </w:t>
      </w:r>
      <w:r>
        <w:t xml:space="preserve">DIRECTOR TO ADOPT RULES AND DEVELOP FORMS.  The director of the department shall adopt rules and develop forms to administer this subchapter.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TOLLS FOR MOTORCYCLE;  USE OF PREFERENTIAL LANE BY MOTORCYCLE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680.011.</w:t>
      </w:r>
      <w:r xml:space="preserve">
        <w:t> </w:t>
      </w:r>
      <w:r xml:space="preserve">
        <w:t> </w:t>
      </w:r>
      <w:r>
        <w:t xml:space="preserve">DEFINITIONS.  In this subchapter: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"Motorcycle" has the meaning assigned by Section </w:t>
      </w:r>
      <w:r>
        <w:t xml:space="preserve">502.001</w:t>
      </w:r>
      <w:r>
        <w:t xml:space="preserve"> and includes a motorcycle equipped with a sidecar.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"Preferential lane" means a traffic lane on a street or highway where motor vehicle usage is limited to: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buses;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vehicles occupied by a minimum number of persons;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car pool vehicles.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680.012.</w:t>
      </w:r>
      <w:r xml:space="preserve">
        <w:t> </w:t>
      </w:r>
      <w:r xml:space="preserve">
        <w:t> </w:t>
      </w:r>
      <w:r>
        <w:t xml:space="preserve">TOLL FOR MOTORCYCLE.  A person who operates a toll road, toll bridge, or turnpike may not impose a toll for the operation of a motorcycle on the road, bridge, or turnpike that is greater than the toll imposed for the operation of a passenger car on the road, bridge, or turnpike.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680.013.</w:t>
      </w:r>
      <w:r xml:space="preserve">
        <w:t> </w:t>
      </w:r>
      <w:r xml:space="preserve">
        <w:t> </w:t>
      </w:r>
      <w:r>
        <w:t xml:space="preserve">USE OF PREFERENTIAL LANE BY MOTORCYCLE.  A motorcycle, including a motorcycle described by Section </w:t>
      </w:r>
      <w:r>
        <w:t xml:space="preserve">521.001</w:t>
      </w:r>
      <w:r>
        <w:t xml:space="preserve">(a)(6-a), may be operated in a preferential lane that is not closed to all vehicular traffic.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722 (S.B. </w:t>
      </w:r>
      <w:hyperlink w:docLocation="table" r:id="rId14">
        <w:r>
          <w:rPr>
            <w:rStyle w:val="Hyperlink"/>
          </w:rPr>
          <w:t>129</w:t>
        </w:r>
      </w:hyperlink>
      <w:r>
        <w:t xml:space="preserve">), Sec. 6, eff. September 1, 2009.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967 (H.B. </w:t>
      </w:r>
      <w:hyperlink w:docLocation="table" r:id="rId15">
        <w:r>
          <w:rPr>
            <w:rStyle w:val="Hyperlink"/>
          </w:rPr>
          <w:t>3599</w:t>
        </w:r>
      </w:hyperlink>
      <w:r>
        <w:t xml:space="preserve">), Sec. 4, eff. September 1, 2009.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1391 (S.B. </w:t>
      </w:r>
      <w:hyperlink w:docLocation="table" r:id="rId16">
        <w:r>
          <w:rPr>
            <w:rStyle w:val="Hyperlink"/>
          </w:rPr>
          <w:t>1967</w:t>
        </w:r>
      </w:hyperlink>
      <w:r>
        <w:t xml:space="preserve">), Sec. 10, eff. September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SB00129F.HTM" TargetMode="External" Id="rId14" /><Relationship Type="http://schemas.openxmlformats.org/officeDocument/2006/relationships/hyperlink" Target="http://capitol.texas.gov/tlodocs/81R/billtext/html/HB03599F.HTM" TargetMode="External" Id="rId15" /><Relationship Type="http://schemas.openxmlformats.org/officeDocument/2006/relationships/hyperlink" Target="http://capitol.texas.gov/tlodocs/81R/billtext/html/SB01967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