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I. ENFORCEMENT OF TRAFFIC LAWS</w:t>
      </w:r>
    </w:p>
    <w:p w:rsidR="003F3435" w:rsidRDefault="0032493E">
      <w:pPr>
        <w:spacing w:line="480" w:lineRule="auto"/>
        <w:jc w:val="center"/>
      </w:pPr>
      <w:r>
        <w:t xml:space="preserve">CHAPTER 702. CONTRACTS FOR ENFORCEMENT OF CERTAIN ARREST WARRANTS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(2)</w:t>
      </w:r>
      <w:r xml:space="preserve">
        <w:t> </w:t>
      </w:r>
      <w:r xml:space="preserve">
        <w:t> </w:t>
      </w:r>
      <w:r>
        <w:t xml:space="preserve">"Registration" of a motor vehicle includes a renewal of the registration of that vehicle.</w:t>
      </w:r>
    </w:p>
    <w:p w:rsidR="003F3435" w:rsidRDefault="0032493E">
      <w:pPr>
        <w:spacing w:line="480" w:lineRule="auto"/>
        <w:ind w:firstLine="1440"/>
        <w:jc w:val="both"/>
      </w:pPr>
      <w:r>
        <w:t xml:space="preserve">(3)</w:t>
      </w:r>
      <w:r xml:space="preserve">
        <w:t> </w:t>
      </w:r>
      <w:r xml:space="preserve">
        <w:t> </w:t>
      </w:r>
      <w:r>
        <w:t xml:space="preserve">"Traffic law" means a statute or ordinance, a violation of which is a misdemeanor punishable by a fine not to exceed $200, that regulates, on a street, road, or highway of this state:</w:t>
      </w:r>
    </w:p>
    <w:p w:rsidR="003F3435" w:rsidRDefault="0032493E">
      <w:pPr>
        <w:spacing w:line="480" w:lineRule="auto"/>
        <w:ind w:firstLine="2160"/>
        <w:jc w:val="both"/>
      </w:pPr>
      <w:r>
        <w:t xml:space="preserve">(A)</w:t>
      </w:r>
      <w:r xml:space="preserve">
        <w:t> </w:t>
      </w:r>
      <w:r xml:space="preserve">
        <w:t> </w:t>
      </w:r>
      <w:r>
        <w:t xml:space="preserve">the conduct or condition of a person while operating a motor vehicle;  or</w:t>
      </w:r>
    </w:p>
    <w:p w:rsidR="003F3435" w:rsidRDefault="0032493E">
      <w:pPr>
        <w:spacing w:line="480" w:lineRule="auto"/>
        <w:ind w:firstLine="2160"/>
        <w:jc w:val="both"/>
      </w:pPr>
      <w:r>
        <w:t xml:space="preserve">(B)</w:t>
      </w:r>
      <w:r xml:space="preserve">
        <w:t> </w:t>
      </w:r>
      <w:r xml:space="preserve">
        <w:t> </w:t>
      </w:r>
      <w:r>
        <w:t xml:space="preserve">the condition of a motor vehicle being operated.</w:t>
      </w:r>
    </w:p>
    <w:p w:rsidR="003F3435" w:rsidRDefault="0032493E">
      <w:pPr>
        <w:spacing w:line="480" w:lineRule="auto"/>
        <w:jc w:val="both"/>
      </w:pPr>
      <w:r>
        <w:t xml:space="preserve">Acts 1995, 74th Leg., ch. 165, Sec. 1, eff. Sept. 1, 1995.  Amended by Acts 1997, 75th Leg., ch. 165, Sec. 30.160(a),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4">
        <w:r>
          <w:rPr>
            <w:rStyle w:val="Hyperlink"/>
          </w:rPr>
          <w:t>3097</w:t>
        </w:r>
      </w:hyperlink>
      <w:r>
        <w:t xml:space="preserve">), Sec. 2S.01,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702.003.</w:t>
      </w:r>
      <w:r xml:space="preserve">
        <w:t> </w:t>
      </w:r>
      <w:r xml:space="preserve">
        <w:t> </w:t>
      </w:r>
      <w:r>
        <w:t xml:space="preserve">REFUSAL TO REGISTER VEHICLE.  (a)  A county assessor-collector or the department may refuse to register a motor vehicle if the assessor-collector or the department receives under a contract information from a municipality that the owner of the vehicle has an outstanding warrant from that municipality for failure to appear or failure to pay a fine on a complaint that involves the violation of a traffic law.</w:t>
      </w:r>
    </w:p>
    <w:p w:rsidR="003F3435" w:rsidRDefault="0032493E">
      <w:pPr>
        <w:spacing w:line="480" w:lineRule="auto"/>
        <w:ind w:firstLine="720"/>
        <w:jc w:val="both"/>
      </w:pPr>
      <w:r>
        <w:t xml:space="preserve">(b)</w:t>
      </w:r>
      <w:r xml:space="preserve">
        <w:t> </w:t>
      </w:r>
      <w:r xml:space="preserve">
        <w:t> </w:t>
      </w:r>
      <w:r>
        <w:t xml:space="preserve">A municipality may contract with a county in which the municipality is located or the department to provide information to the county assessor-collector or department necessary to make a determination under Subsection (a).</w:t>
      </w:r>
    </w:p>
    <w:p w:rsidR="003F3435" w:rsidRDefault="0032493E">
      <w:pPr>
        <w:spacing w:line="480" w:lineRule="auto"/>
        <w:ind w:firstLine="720"/>
        <w:jc w:val="both"/>
      </w:pPr>
      <w:r>
        <w:t xml:space="preserve">(c)</w:t>
      </w:r>
      <w:r xml:space="preserve">
        <w:t> </w:t>
      </w:r>
      <w:r xml:space="preserve">
        <w:t> </w:t>
      </w:r>
      <w:r>
        <w:t xml:space="preserve">A municipality that has a contract under Subsection (b) shall notify the county assessor-collector or the department regarding a person for whom the county assessor-collector or the department has refused to register a motor vehicle on:</w:t>
      </w:r>
    </w:p>
    <w:p w:rsidR="003F3435" w:rsidRDefault="0032493E">
      <w:pPr>
        <w:spacing w:line="480" w:lineRule="auto"/>
        <w:ind w:firstLine="1440"/>
        <w:jc w:val="both"/>
      </w:pPr>
      <w:r>
        <w:t xml:space="preserve">(1)</w:t>
      </w:r>
      <w:r xml:space="preserve">
        <w:t> </w:t>
      </w:r>
      <w:r xml:space="preserve">
        <w:t> </w:t>
      </w:r>
      <w:r>
        <w:t xml:space="preserve">entry of a judgment against the person and the person's payment to the court of the fine for the violation and of all court costs;</w:t>
      </w:r>
    </w:p>
    <w:p w:rsidR="003F3435" w:rsidRDefault="0032493E">
      <w:pPr>
        <w:spacing w:line="480" w:lineRule="auto"/>
        <w:ind w:firstLine="1440"/>
        <w:jc w:val="both"/>
      </w:pPr>
      <w:r>
        <w:t xml:space="preserve">(2)</w:t>
      </w:r>
      <w:r xml:space="preserve">
        <w:t> </w:t>
      </w:r>
      <w:r xml:space="preserve">
        <w:t> </w:t>
      </w:r>
      <w:r>
        <w:t xml:space="preserve">perfection of an appeal of the case for which the arrest warrant was issued; or</w:t>
      </w:r>
    </w:p>
    <w:p w:rsidR="003F3435" w:rsidRDefault="0032493E">
      <w:pPr>
        <w:spacing w:line="480" w:lineRule="auto"/>
        <w:ind w:firstLine="1440"/>
        <w:jc w:val="both"/>
      </w:pPr>
      <w:r>
        <w:t xml:space="preserve">(3)</w:t>
      </w:r>
      <w:r xml:space="preserve">
        <w:t> </w:t>
      </w:r>
      <w:r xml:space="preserve">
        <w:t> </w:t>
      </w:r>
      <w:r>
        <w:t xml:space="preserve">dismissal of the charge for which the arrest warrant was issued.</w:t>
      </w:r>
    </w:p>
    <w:p w:rsidR="003F3435" w:rsidRDefault="0032493E">
      <w:pPr>
        <w:spacing w:line="480" w:lineRule="auto"/>
        <w:ind w:firstLine="720"/>
        <w:jc w:val="both"/>
      </w:pPr>
      <w:r>
        <w:t xml:space="preserve">(d)</w:t>
      </w:r>
      <w:r xml:space="preserve">
        <w:t> </w:t>
      </w:r>
      <w:r xml:space="preserve">
        <w:t> </w:t>
      </w:r>
      <w:r>
        <w:t xml:space="preserve">After notice is received under Subsection (c), the county assessor-collector or the department may not refuse to register the motor vehicle under Subsection (a).</w:t>
      </w:r>
    </w:p>
    <w:p w:rsidR="003F3435" w:rsidRDefault="0032493E">
      <w:pPr>
        <w:spacing w:line="480" w:lineRule="auto"/>
        <w:ind w:firstLine="720"/>
        <w:jc w:val="both"/>
      </w:pPr>
      <w:r>
        <w:t xml:space="preserve">(e)</w:t>
      </w:r>
      <w:r xml:space="preserve">
        <w:t> </w:t>
      </w:r>
      <w:r xml:space="preserve">
        <w:t> </w:t>
      </w:r>
      <w:r>
        <w:t xml:space="preserve">A contract under Subsection (b) must be entered into in accordance with Chapter </w:t>
      </w:r>
      <w:r>
        <w:t xml:space="preserve">791</w:t>
      </w:r>
      <w:r>
        <w:t xml:space="preserve">, Government Code, and is subject to the ability of the parties to provide or pay for the services required under the contract.</w:t>
      </w:r>
    </w:p>
    <w:p w:rsidR="003F3435" w:rsidRDefault="0032493E">
      <w:pPr>
        <w:spacing w:line="480" w:lineRule="auto"/>
        <w:ind w:firstLine="720"/>
        <w:jc w:val="both"/>
      </w:pPr>
      <w:r>
        <w:t xml:space="preserve">(e-1)</w:t>
      </w:r>
      <w:r xml:space="preserve">
        <w:t> </w:t>
      </w:r>
      <w:r xml:space="preserve">
        <w:t> </w:t>
      </w:r>
      <w:r>
        <w:t xml:space="preserve">A municipality that has a contract under Subsection (b) may impose an additional $20 reimbursement fee to a person who has an outstanding warrant from the municipality for failure to appear or failure to pay a fine on a complaint that involves the violation of a traffic law.</w:t>
      </w:r>
      <w:r xml:space="preserve">
        <w:t> </w:t>
      </w:r>
      <w:r xml:space="preserve">
        <w:t> </w:t>
      </w:r>
      <w:r>
        <w:t xml:space="preserve">The additional reimbursement fee may be used only to reimburse the department or the county assessor-collector for its expenses for providing services under the contract, or another county department for expenses related to services under the contract.</w:t>
      </w:r>
    </w:p>
    <w:p w:rsidR="003F3435" w:rsidRDefault="0032493E">
      <w:pPr>
        <w:spacing w:line="480" w:lineRule="auto"/>
        <w:ind w:firstLine="720"/>
        <w:jc w:val="both"/>
      </w:pPr>
      <w:r>
        <w:t xml:space="preserve">(f)</w:t>
      </w:r>
      <w:r xml:space="preserve">
        <w:t> </w:t>
      </w:r>
      <w:r xml:space="preserve">
        <w:t> </w:t>
      </w:r>
      <w:r>
        <w:t xml:space="preserve">This section does not apply to the registration of a motor vehicle under Section </w:t>
      </w:r>
      <w:r>
        <w:t xml:space="preserve">501.0234</w:t>
      </w:r>
      <w:r>
        <w:t xml:space="preserve">.</w:t>
      </w:r>
    </w:p>
    <w:p w:rsidR="003F3435" w:rsidRDefault="0032493E">
      <w:pPr>
        <w:spacing w:line="480" w:lineRule="auto"/>
        <w:jc w:val="both"/>
      </w:pPr>
      <w:r>
        <w:t xml:space="preserve">Acts 1995, 74th Leg., ch. 165, Sec. 1, eff. Sept. 1, 1995.  Amended by Acts 1997, 75th Leg., ch. 165, Sec. 30.160(b),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542 (S.B. </w:t>
      </w:r>
      <w:hyperlink w:docLocation="table" r:id="rId15">
        <w:r>
          <w:rPr>
            <w:rStyle w:val="Hyperlink"/>
          </w:rPr>
          <w:t>1617</w:t>
        </w:r>
      </w:hyperlink>
      <w:r>
        <w:t xml:space="preserve">), Sec. 3, eff. September 1, 2009.</w:t>
      </w:r>
    </w:p>
    <w:p w:rsidR="003F3435" w:rsidRDefault="0032493E">
      <w:pPr>
        <w:spacing w:line="480" w:lineRule="auto"/>
        <w:ind w:firstLine="720"/>
        <w:jc w:val="both"/>
      </w:pPr>
      <w:r>
        <w:t xml:space="preserve">Acts 2011, 82nd Leg., R.S., Ch. 1094 (S.B. </w:t>
      </w:r>
      <w:hyperlink w:docLocation="table" r:id="rId16">
        <w:r>
          <w:rPr>
            <w:rStyle w:val="Hyperlink"/>
          </w:rPr>
          <w:t>1386</w:t>
        </w:r>
      </w:hyperlink>
      <w:r>
        <w:t xml:space="preserve">), Sec. 2, eff. September 1, 2011.</w:t>
      </w:r>
    </w:p>
    <w:p w:rsidR="003F3435" w:rsidRDefault="0032493E">
      <w:pPr>
        <w:spacing w:line="480" w:lineRule="auto"/>
        <w:ind w:firstLine="720"/>
        <w:jc w:val="both"/>
      </w:pPr>
      <w:r>
        <w:t xml:space="preserve">Acts 2019, 86th Leg., R.S., Ch. 1352 (S.B. </w:t>
      </w:r>
      <w:hyperlink w:docLocation="table" r:id="rId17">
        <w:r>
          <w:rPr>
            <w:rStyle w:val="Hyperlink"/>
          </w:rPr>
          <w:t>346</w:t>
        </w:r>
      </w:hyperlink>
      <w:r>
        <w:t xml:space="preserve">), Sec. 2.77,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702.004.</w:t>
      </w:r>
      <w:r xml:space="preserve">
        <w:t> </w:t>
      </w:r>
      <w:r xml:space="preserve">
        <w:t> </w:t>
      </w:r>
      <w:r>
        <w:t xml:space="preserve">WARNING;  CITATION.  (a)  A peace officer authorized to issue citations in a municipality that has a contract under Section </w:t>
      </w:r>
      <w:r>
        <w:t xml:space="preserve">702.003</w:t>
      </w:r>
      <w:r>
        <w:t xml:space="preserve"> shall issue a written warning to each person to whom the officer issues a citation for a violation of a traffic law in the municipality.</w:t>
      </w:r>
    </w:p>
    <w:p w:rsidR="003F3435" w:rsidRDefault="0032493E">
      <w:pPr>
        <w:spacing w:line="480" w:lineRule="auto"/>
        <w:ind w:firstLine="720"/>
        <w:jc w:val="both"/>
      </w:pPr>
      <w:r>
        <w:t xml:space="preserve">(b)</w:t>
      </w:r>
      <w:r xml:space="preserve">
        <w:t> </w:t>
      </w:r>
      <w:r xml:space="preserve">
        <w:t> </w:t>
      </w:r>
      <w:r>
        <w:t xml:space="preserve">The warning must state that if the person fails to appear in court as provided by law for the prosecution of the offense or fails to pay a fine for the violation, the person might not be permitted to register a motor vehicle in this state.</w:t>
      </w:r>
    </w:p>
    <w:p w:rsidR="003F3435" w:rsidRDefault="0032493E">
      <w:pPr>
        <w:spacing w:line="480" w:lineRule="auto"/>
        <w:ind w:firstLine="720"/>
        <w:jc w:val="both"/>
      </w:pPr>
      <w:r>
        <w:t xml:space="preserve">(c)</w:t>
      </w:r>
      <w:r xml:space="preserve">
        <w:t> </w:t>
      </w:r>
      <w:r xml:space="preserve">
        <w:t> </w:t>
      </w:r>
      <w:r>
        <w:t xml:space="preserve">The warning required by this section may be printed on the citation.</w:t>
      </w:r>
    </w:p>
    <w:p w:rsidR="003F3435" w:rsidRDefault="0032493E">
      <w:pPr>
        <w:spacing w:line="480" w:lineRule="auto"/>
        <w:jc w:val="both"/>
      </w:pPr>
      <w:r>
        <w:t xml:space="preserve">Acts 1995, 74th Leg., ch. 165, Sec. 1, eff. Sept. 1, 1995.  Renumbered from Transportation Code Sec. 702.005 and amended by Acts 1997, 75th Leg., ch. 165, Sec. 30.160,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097F.HTM" TargetMode="External" Id="rId14" /><Relationship Type="http://schemas.openxmlformats.org/officeDocument/2006/relationships/hyperlink" Target="http://capitol.texas.gov/tlodocs/81R/billtext/html/SB01617F.HTM" TargetMode="External" Id="rId15" /><Relationship Type="http://schemas.openxmlformats.org/officeDocument/2006/relationships/hyperlink" Target="http://capitol.texas.gov/tlodocs/82R/billtext/html/SB01386F.HTM" TargetMode="External" Id="rId16" /><Relationship Type="http://schemas.openxmlformats.org/officeDocument/2006/relationships/hyperlink" Target="http://capitol.texas.gov/tlodocs/86R/billtext/html/SB0034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