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I. ENFORCEMENT OF TRAFFIC LAWS</w:t>
      </w:r>
    </w:p>
    <w:p w:rsidR="003F3435" w:rsidRDefault="0032493E">
      <w:pPr>
        <w:spacing w:line="480" w:lineRule="auto"/>
        <w:jc w:val="center"/>
      </w:pPr>
      <w:r>
        <w:t xml:space="preserve">CHAPTER 705. ALLOWING DANGEROUS DRIVER TO BORROW MOTOR VEHICLE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705.001.</w:t>
      </w:r>
      <w:r xml:space="preserve">
        <w:t> </w:t>
      </w:r>
      <w:r xml:space="preserve">
        <w:t> </w:t>
      </w:r>
      <w:r>
        <w:t xml:space="preserve">ALLOWING DANGEROUS DRIVER TO BORROW MOTOR VEHICLE;  OFFENSE.  (a)  A person commits an offense if the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knowingly permits another to operate a motor vehicle owned by the person;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knows that at the time permission is given the other person's license has been suspended as a result of a: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conviction of an offense under: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Section </w:t>
      </w:r>
      <w:r>
        <w:t xml:space="preserve">49.04</w:t>
      </w:r>
      <w:r>
        <w:t xml:space="preserve">, Penal Code;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Section </w:t>
      </w:r>
      <w:r>
        <w:t xml:space="preserve">49.07</w:t>
      </w:r>
      <w:r>
        <w:t xml:space="preserve">, Penal Code, if the offense involved operation of a motor vehicle; 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Article 6701l-1, Revised Statutes, as that law existed before September 1, 1994;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failure to give a specimen under: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Chapter </w:t>
      </w:r>
      <w:r>
        <w:t xml:space="preserve">724</w:t>
      </w:r>
      <w:r>
        <w:t xml:space="preserve">; 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Chapter 434, Acts of the 61st Legislature, Regular Session, 1969 (Article 6701l-5, Vernon's Texas Civil Statutes), as that law existed before September 1, 1995.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Class C misdemeanor.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